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F5392" w:rsidP="00C60BB7" w:rsidRDefault="009F5392" w14:paraId="704A9E29" w14:textId="77777777">
      <w:pPr>
        <w:rPr>
          <w:rFonts w:asciiTheme="majorHAnsi" w:hAnsiTheme="majorHAnsi" w:cstheme="majorHAnsi"/>
          <w:b/>
          <w:sz w:val="24"/>
        </w:rPr>
      </w:pPr>
    </w:p>
    <w:p w:rsidRPr="006D47E7" w:rsidR="00F141DA" w:rsidP="00C60BB7" w:rsidRDefault="002F7A2C" w14:paraId="4EB3B67B" w14:textId="46095D3C">
      <w:pPr>
        <w:rPr>
          <w:rFonts w:asciiTheme="majorHAnsi" w:hAnsiTheme="majorHAnsi" w:cstheme="majorHAnsi"/>
          <w:b/>
          <w:sz w:val="24"/>
        </w:rPr>
      </w:pPr>
      <w:r>
        <w:rPr>
          <w:rFonts w:asciiTheme="majorHAnsi" w:hAnsiTheme="majorHAnsi" w:cstheme="majorHAnsi"/>
          <w:b/>
          <w:sz w:val="24"/>
        </w:rPr>
        <w:t>Vedlegg 1</w:t>
      </w:r>
    </w:p>
    <w:p w:rsidRPr="00194F1E" w:rsidR="00194F1E" w:rsidP="00194F1E" w:rsidRDefault="003B0D58" w14:paraId="5F6C7EF3" w14:textId="77777777">
      <w:pPr>
        <w:rPr>
          <w:rFonts w:asciiTheme="majorHAnsi" w:hAnsiTheme="majorHAnsi" w:cstheme="majorHAnsi"/>
          <w:b/>
          <w:sz w:val="24"/>
        </w:rPr>
      </w:pPr>
      <w:r>
        <w:rPr>
          <w:rFonts w:asciiTheme="majorHAnsi" w:hAnsiTheme="majorHAnsi" w:cstheme="majorHAnsi"/>
          <w:b/>
          <w:sz w:val="24"/>
        </w:rPr>
        <w:t xml:space="preserve">Endringer til </w:t>
      </w:r>
      <w:r w:rsidRPr="00194F1E" w:rsidR="00194F1E">
        <w:rPr>
          <w:rFonts w:asciiTheme="majorHAnsi" w:hAnsiTheme="majorHAnsi" w:cstheme="majorHAnsi"/>
          <w:b/>
          <w:sz w:val="24"/>
        </w:rPr>
        <w:t>Forsvarsbyggs generelle kontraktsvilkår for rammeavtaler</w:t>
      </w:r>
    </w:p>
    <w:p w:rsidRPr="00CD2126" w:rsidR="006D47E7" w:rsidP="00C60BB7" w:rsidRDefault="006D47E7" w14:paraId="604F0A31" w14:textId="77777777">
      <w:pPr>
        <w:rPr>
          <w:rFonts w:asciiTheme="majorHAnsi" w:hAnsiTheme="majorHAnsi" w:cstheme="majorHAnsi"/>
          <w:sz w:val="20"/>
          <w:szCs w:val="20"/>
        </w:rPr>
      </w:pPr>
    </w:p>
    <w:p w:rsidRPr="00CD2126" w:rsidR="00194F1E" w:rsidP="00194F1E" w:rsidRDefault="006D47E7" w14:paraId="5346D271" w14:textId="77777777">
      <w:pPr>
        <w:rPr>
          <w:rFonts w:asciiTheme="majorHAnsi" w:hAnsiTheme="majorHAnsi" w:cstheme="majorHAnsi"/>
          <w:sz w:val="20"/>
          <w:szCs w:val="20"/>
        </w:rPr>
      </w:pPr>
      <w:r w:rsidRPr="00CD2126">
        <w:rPr>
          <w:rFonts w:asciiTheme="majorHAnsi" w:hAnsiTheme="majorHAnsi" w:cstheme="majorHAnsi"/>
          <w:sz w:val="20"/>
          <w:szCs w:val="20"/>
        </w:rPr>
        <w:t xml:space="preserve">I tabellen under fremgår det endringer og eventuelle tillegg til </w:t>
      </w:r>
      <w:r w:rsidRPr="00CD2126" w:rsidR="00194F1E">
        <w:rPr>
          <w:rFonts w:asciiTheme="majorHAnsi" w:hAnsiTheme="majorHAnsi" w:cstheme="majorHAnsi"/>
          <w:sz w:val="20"/>
          <w:szCs w:val="20"/>
        </w:rPr>
        <w:t>Forsvarsbyggs generelle kontraktsvilkår for rammeavtaler:</w:t>
      </w:r>
    </w:p>
    <w:p w:rsidRPr="00CD2126" w:rsidR="00194F1E" w:rsidP="006D47E7" w:rsidRDefault="00194F1E" w14:paraId="5F040E51" w14:textId="77777777">
      <w:pPr>
        <w:rPr>
          <w:rFonts w:asciiTheme="majorHAnsi" w:hAnsiTheme="majorHAnsi" w:cstheme="majorHAnsi"/>
          <w:sz w:val="20"/>
          <w:szCs w:val="20"/>
        </w:rPr>
      </w:pPr>
    </w:p>
    <w:tbl>
      <w:tblPr>
        <w:tblStyle w:val="Rutenettabelllys"/>
        <w:tblW w:w="0" w:type="auto"/>
        <w:tblLook w:val="04A0" w:firstRow="1" w:lastRow="0" w:firstColumn="1" w:lastColumn="0" w:noHBand="0" w:noVBand="1"/>
      </w:tblPr>
      <w:tblGrid>
        <w:gridCol w:w="1413"/>
        <w:gridCol w:w="7647"/>
      </w:tblGrid>
      <w:tr w:rsidRPr="00D44F06" w:rsidR="006D47E7" w:rsidTr="6D49C4E9" w14:paraId="58C09DAF" w14:textId="77777777">
        <w:trPr>
          <w:trHeight w:val="340"/>
        </w:trPr>
        <w:tc>
          <w:tcPr>
            <w:tcW w:w="1413" w:type="dxa"/>
            <w:shd w:val="clear" w:color="auto" w:fill="D9D9D9" w:themeFill="background1" w:themeFillShade="D9"/>
            <w:tcMar/>
            <w:vAlign w:val="center"/>
          </w:tcPr>
          <w:p w:rsidRPr="00CD2126" w:rsidR="006D47E7" w:rsidP="00D44F06" w:rsidRDefault="006D47E7" w14:paraId="39A62E64" w14:textId="77777777">
            <w:pPr>
              <w:rPr>
                <w:rFonts w:asciiTheme="majorHAnsi" w:hAnsiTheme="majorHAnsi" w:cstheme="majorHAnsi"/>
                <w:b/>
                <w:sz w:val="20"/>
                <w:szCs w:val="20"/>
              </w:rPr>
            </w:pPr>
            <w:r w:rsidRPr="00CD2126">
              <w:rPr>
                <w:rFonts w:asciiTheme="majorHAnsi" w:hAnsiTheme="majorHAnsi" w:cstheme="majorHAnsi"/>
                <w:b/>
                <w:sz w:val="20"/>
                <w:szCs w:val="20"/>
              </w:rPr>
              <w:t>Punkt</w:t>
            </w:r>
          </w:p>
        </w:tc>
        <w:tc>
          <w:tcPr>
            <w:tcW w:w="7647" w:type="dxa"/>
            <w:shd w:val="clear" w:color="auto" w:fill="D9D9D9" w:themeFill="background1" w:themeFillShade="D9"/>
            <w:tcMar/>
            <w:vAlign w:val="center"/>
          </w:tcPr>
          <w:p w:rsidRPr="00CD2126" w:rsidR="006D47E7" w:rsidP="00D44F06" w:rsidRDefault="003B0D58" w14:paraId="374E7A8F" w14:textId="77777777">
            <w:pPr>
              <w:rPr>
                <w:rFonts w:asciiTheme="majorHAnsi" w:hAnsiTheme="majorHAnsi" w:cstheme="majorHAnsi"/>
                <w:b/>
                <w:sz w:val="20"/>
                <w:szCs w:val="20"/>
              </w:rPr>
            </w:pPr>
            <w:r w:rsidRPr="00CD2126">
              <w:rPr>
                <w:rFonts w:asciiTheme="majorHAnsi" w:hAnsiTheme="majorHAnsi" w:cstheme="majorHAnsi"/>
                <w:b/>
                <w:sz w:val="20"/>
                <w:szCs w:val="20"/>
              </w:rPr>
              <w:t>Erstattes med eller utgår, eventuelt nytt punkt</w:t>
            </w:r>
          </w:p>
        </w:tc>
      </w:tr>
      <w:tr w:rsidRPr="00D44F06" w:rsidR="006D47E7" w:rsidTr="6D49C4E9" w14:paraId="6F145729" w14:textId="77777777">
        <w:trPr>
          <w:trHeight w:val="340"/>
        </w:trPr>
        <w:tc>
          <w:tcPr>
            <w:tcW w:w="1413" w:type="dxa"/>
            <w:tcMar/>
            <w:vAlign w:val="center"/>
          </w:tcPr>
          <w:p w:rsidR="00CC42DF" w:rsidP="00CC42DF" w:rsidRDefault="00CC42DF" w14:paraId="6C0E0CC0" w14:textId="0436ED3B">
            <w:pPr>
              <w:jc w:val="center"/>
              <w:rPr>
                <w:rFonts w:ascii="Times New Roman" w:hAnsi="Times New Roman" w:cs="Times New Roman"/>
                <w:kern w:val="0"/>
                <w:lang w:eastAsia="nb-NO"/>
                <w14:ligatures w14:val="none"/>
              </w:rPr>
            </w:pPr>
            <w:r w:rsidRPr="6D49C4E9" w:rsidR="4093A2F5">
              <w:rPr>
                <w:rFonts w:ascii="Arial" w:hAnsi="Arial" w:cs="Arial" w:asciiTheme="majorAscii" w:hAnsiTheme="majorAscii" w:cstheme="majorAscii"/>
                <w:sz w:val="20"/>
                <w:szCs w:val="20"/>
              </w:rPr>
              <w:t>11.</w:t>
            </w:r>
            <w:r w:rsidRPr="6D49C4E9" w:rsidR="5028D698">
              <w:rPr>
                <w:rFonts w:ascii="Arial" w:hAnsi="Arial" w:cs="Arial" w:asciiTheme="majorAscii" w:hAnsiTheme="majorAscii" w:cstheme="majorAscii"/>
                <w:sz w:val="20"/>
                <w:szCs w:val="20"/>
              </w:rPr>
              <w:t>5</w:t>
            </w:r>
          </w:p>
          <w:p w:rsidRPr="00D44F06" w:rsidR="006D47E7" w:rsidP="00D44F06" w:rsidRDefault="006D47E7" w14:paraId="706E2554" w14:textId="77777777">
            <w:pPr>
              <w:rPr>
                <w:rFonts w:asciiTheme="majorHAnsi" w:hAnsiTheme="majorHAnsi" w:cstheme="majorHAnsi"/>
              </w:rPr>
            </w:pPr>
          </w:p>
        </w:tc>
        <w:tc>
          <w:tcPr>
            <w:tcW w:w="7647" w:type="dxa"/>
            <w:tcMar/>
            <w:vAlign w:val="center"/>
          </w:tcPr>
          <w:p w:rsidR="00CC42DF" w:rsidP="00CC42DF" w:rsidRDefault="00CC42DF" w14:paraId="3A814F02" w14:textId="77777777">
            <w:pPr>
              <w:rPr>
                <w:rFonts w:asciiTheme="majorHAnsi" w:hAnsiTheme="majorHAnsi" w:cstheme="majorHAnsi"/>
                <w:sz w:val="20"/>
                <w:szCs w:val="20"/>
              </w:rPr>
            </w:pPr>
            <w:r>
              <w:rPr>
                <w:rFonts w:asciiTheme="majorHAnsi" w:hAnsiTheme="majorHAnsi" w:cstheme="majorHAnsi"/>
                <w:sz w:val="20"/>
                <w:szCs w:val="20"/>
              </w:rPr>
              <w:t xml:space="preserve">Nytt punkt: </w:t>
            </w:r>
          </w:p>
          <w:p w:rsidR="00CC42DF" w:rsidP="00CC42DF" w:rsidRDefault="00CC42DF" w14:paraId="0DC0E03D" w14:textId="77777777">
            <w:pPr>
              <w:rPr>
                <w:rFonts w:asciiTheme="majorHAnsi" w:hAnsiTheme="majorHAnsi" w:cstheme="majorHAnsi"/>
                <w:sz w:val="20"/>
                <w:szCs w:val="20"/>
              </w:rPr>
            </w:pPr>
          </w:p>
          <w:p w:rsidR="00CC42DF" w:rsidP="00CC42DF" w:rsidRDefault="00CC42DF" w14:paraId="3B6735D7" w14:textId="482C5CD5">
            <w:pPr>
              <w:rPr>
                <w:rFonts w:asciiTheme="majorHAnsi" w:hAnsiTheme="majorHAnsi" w:cstheme="majorHAnsi"/>
                <w:sz w:val="20"/>
                <w:szCs w:val="20"/>
              </w:rPr>
            </w:pPr>
            <w:r>
              <w:rPr>
                <w:rFonts w:asciiTheme="majorHAnsi" w:hAnsiTheme="majorHAnsi" w:cstheme="majorHAnsi"/>
                <w:sz w:val="20"/>
                <w:szCs w:val="20"/>
              </w:rPr>
              <w:t>11.</w:t>
            </w:r>
            <w:r w:rsidR="00D11506">
              <w:rPr>
                <w:rFonts w:asciiTheme="majorHAnsi" w:hAnsiTheme="majorHAnsi" w:cstheme="majorHAnsi"/>
                <w:sz w:val="20"/>
                <w:szCs w:val="20"/>
              </w:rPr>
              <w:t>5</w:t>
            </w:r>
            <w:r>
              <w:rPr>
                <w:rFonts w:asciiTheme="majorHAnsi" w:hAnsiTheme="majorHAnsi" w:cstheme="majorHAnsi"/>
                <w:sz w:val="20"/>
                <w:szCs w:val="20"/>
              </w:rPr>
              <w:t xml:space="preserve"> Etisk handel</w:t>
            </w:r>
          </w:p>
          <w:p w:rsidR="00CC42DF" w:rsidP="00CC42DF" w:rsidRDefault="00CC42DF" w14:paraId="01893CFF" w14:textId="2E7C6156">
            <w:pPr>
              <w:rPr>
                <w:rFonts w:asciiTheme="majorHAnsi" w:hAnsiTheme="majorHAnsi"/>
                <w:sz w:val="20"/>
                <w:szCs w:val="20"/>
              </w:rPr>
            </w:pPr>
            <w:bookmarkStart w:name="_Ref119671183" w:id="1"/>
            <w:r>
              <w:rPr>
                <w:rFonts w:asciiTheme="majorHAnsi" w:hAnsiTheme="majorHAnsi"/>
                <w:sz w:val="20"/>
                <w:szCs w:val="20"/>
              </w:rPr>
              <w:t>11.</w:t>
            </w:r>
            <w:r w:rsidR="00D11506">
              <w:rPr>
                <w:rFonts w:asciiTheme="majorHAnsi" w:hAnsiTheme="majorHAnsi"/>
                <w:sz w:val="20"/>
                <w:szCs w:val="20"/>
              </w:rPr>
              <w:t>5</w:t>
            </w:r>
            <w:r>
              <w:rPr>
                <w:rFonts w:asciiTheme="majorHAnsi" w:hAnsiTheme="majorHAnsi"/>
                <w:sz w:val="20"/>
                <w:szCs w:val="20"/>
              </w:rPr>
              <w:t xml:space="preserve">.1 </w:t>
            </w:r>
            <w:r>
              <w:rPr>
                <w:rFonts w:asciiTheme="majorHAnsi" w:hAnsiTheme="majorHAnsi"/>
                <w:sz w:val="20"/>
                <w:szCs w:val="20"/>
                <w:u w:val="single"/>
              </w:rPr>
              <w:t>Ivaretakelse av grunnleggende menneskerettigheter i leverandørkjeden</w:t>
            </w:r>
          </w:p>
          <w:p w:rsidR="00CC42DF" w:rsidP="00CC42DF" w:rsidRDefault="00CC42DF" w14:paraId="08F5A57B" w14:textId="77777777">
            <w:pPr>
              <w:rPr>
                <w:rFonts w:asciiTheme="majorHAnsi" w:hAnsiTheme="majorHAnsi"/>
                <w:sz w:val="20"/>
                <w:szCs w:val="20"/>
              </w:rPr>
            </w:pPr>
            <w:r>
              <w:rPr>
                <w:rFonts w:asciiTheme="majorHAnsi" w:hAnsiTheme="majorHAnsi"/>
                <w:sz w:val="20"/>
                <w:szCs w:val="20"/>
              </w:rPr>
              <w:t xml:space="preserve">Leverandøren skal under hele perioden overholde punktene i dette kontraktsvilkåret for å ivareta åpenhetslovens krav til dokumentasjon, og gjennomføring og oppfølging av aktsomhetsvurderinger. Kontraktsvilkårene bygger på FNs veiledende prinsipper for næringsliv og menneskerettigheter og OECDs retningslinjer for ansvarlig næringsliv med aktsomhetsvurderinger som metode. </w:t>
            </w:r>
          </w:p>
          <w:p w:rsidR="00CC42DF" w:rsidP="00CC42DF" w:rsidRDefault="00CC42DF" w14:paraId="52DA24EB" w14:textId="77777777">
            <w:pPr>
              <w:rPr>
                <w:rFonts w:asciiTheme="majorHAnsi" w:hAnsiTheme="majorHAnsi"/>
                <w:sz w:val="20"/>
                <w:szCs w:val="20"/>
              </w:rPr>
            </w:pPr>
          </w:p>
          <w:p w:rsidR="00CC42DF" w:rsidP="00CC42DF" w:rsidRDefault="00CC42DF" w14:paraId="15C72A6C" w14:textId="77777777">
            <w:pPr>
              <w:rPr>
                <w:rFonts w:asciiTheme="majorHAnsi" w:hAnsiTheme="majorHAnsi"/>
                <w:sz w:val="20"/>
                <w:szCs w:val="20"/>
              </w:rPr>
            </w:pPr>
            <w:r>
              <w:rPr>
                <w:rFonts w:asciiTheme="majorHAnsi" w:hAnsiTheme="majorHAnsi"/>
                <w:sz w:val="20"/>
                <w:szCs w:val="20"/>
              </w:rPr>
              <w:t>Dersom leverandøren bruker underleverandør for å oppfylle denne rammeavtalen, er leverandøren forpliktet til å videreføre og bidra til etterlevelse av kravene i leverandørkjeden.</w:t>
            </w:r>
          </w:p>
          <w:p w:rsidR="00CC42DF" w:rsidP="00CC42DF" w:rsidRDefault="00CC42DF" w14:paraId="14B32157" w14:textId="77777777">
            <w:pPr>
              <w:pStyle w:val="Overskrift4"/>
              <w:numPr>
                <w:ilvl w:val="0"/>
                <w:numId w:val="0"/>
              </w:numPr>
              <w:ind w:left="864" w:hanging="864"/>
              <w:rPr>
                <w:i w:val="0"/>
                <w:iCs w:val="0"/>
                <w:color w:val="auto"/>
                <w:sz w:val="20"/>
                <w:szCs w:val="20"/>
              </w:rPr>
            </w:pPr>
          </w:p>
          <w:p w:rsidR="00CC42DF" w:rsidP="00CC42DF" w:rsidRDefault="00CC42DF" w14:paraId="3712D19C" w14:textId="534D422D">
            <w:pPr>
              <w:pStyle w:val="Overskrift4"/>
              <w:numPr>
                <w:ilvl w:val="0"/>
                <w:numId w:val="0"/>
              </w:numPr>
              <w:ind w:left="864" w:hanging="864"/>
              <w:rPr>
                <w:i w:val="0"/>
                <w:iCs w:val="0"/>
                <w:color w:val="auto"/>
                <w:sz w:val="20"/>
                <w:szCs w:val="20"/>
              </w:rPr>
            </w:pPr>
            <w:r>
              <w:rPr>
                <w:i w:val="0"/>
                <w:iCs w:val="0"/>
                <w:color w:val="auto"/>
                <w:sz w:val="20"/>
                <w:szCs w:val="20"/>
              </w:rPr>
              <w:t>11.</w:t>
            </w:r>
            <w:r w:rsidR="00D11506">
              <w:rPr>
                <w:i w:val="0"/>
                <w:iCs w:val="0"/>
                <w:color w:val="auto"/>
                <w:sz w:val="20"/>
                <w:szCs w:val="20"/>
              </w:rPr>
              <w:t>5</w:t>
            </w:r>
            <w:r>
              <w:rPr>
                <w:i w:val="0"/>
                <w:iCs w:val="0"/>
                <w:color w:val="auto"/>
                <w:sz w:val="20"/>
                <w:szCs w:val="20"/>
              </w:rPr>
              <w:t xml:space="preserve">.2 </w:t>
            </w:r>
            <w:r>
              <w:rPr>
                <w:i w:val="0"/>
                <w:iCs w:val="0"/>
                <w:color w:val="auto"/>
                <w:sz w:val="20"/>
                <w:szCs w:val="20"/>
                <w:u w:val="single"/>
              </w:rPr>
              <w:t>ILOs kjernekonvensjoner</w:t>
            </w:r>
            <w:bookmarkEnd w:id="1"/>
          </w:p>
          <w:p w:rsidR="00CC42DF" w:rsidP="00CC42DF" w:rsidRDefault="00CC42DF" w14:paraId="680020B1" w14:textId="77777777">
            <w:pPr>
              <w:rPr>
                <w:rFonts w:asciiTheme="majorHAnsi" w:hAnsiTheme="majorHAnsi"/>
                <w:sz w:val="20"/>
                <w:szCs w:val="20"/>
              </w:rPr>
            </w:pPr>
            <w:r>
              <w:rPr>
                <w:rFonts w:asciiTheme="majorHAnsi" w:hAnsiTheme="majorHAnsi"/>
                <w:sz w:val="20"/>
                <w:szCs w:val="20"/>
              </w:rPr>
              <w:t>Leverandør skal etterleve følgende grunnleggende krav:</w:t>
            </w:r>
          </w:p>
          <w:p w:rsidR="00CC42DF" w:rsidP="00CC42DF" w:rsidRDefault="00CC42DF" w14:paraId="67F30A07" w14:textId="77777777">
            <w:pPr>
              <w:ind w:left="709" w:hanging="425"/>
              <w:rPr>
                <w:rFonts w:asciiTheme="majorHAnsi" w:hAnsiTheme="majorHAnsi"/>
                <w:sz w:val="20"/>
                <w:szCs w:val="20"/>
              </w:rPr>
            </w:pPr>
            <w:r>
              <w:rPr>
                <w:rFonts w:asciiTheme="majorHAnsi" w:hAnsiTheme="majorHAnsi"/>
                <w:sz w:val="20"/>
                <w:szCs w:val="20"/>
              </w:rPr>
              <w:t>a)</w:t>
            </w:r>
            <w:r>
              <w:rPr>
                <w:rFonts w:asciiTheme="majorHAnsi" w:hAnsiTheme="majorHAnsi"/>
                <w:sz w:val="20"/>
                <w:szCs w:val="20"/>
              </w:rPr>
              <w:tab/>
            </w:r>
            <w:r>
              <w:rPr>
                <w:rFonts w:asciiTheme="majorHAnsi" w:hAnsiTheme="majorHAnsi"/>
                <w:sz w:val="20"/>
                <w:szCs w:val="20"/>
              </w:rPr>
              <w:t>Forbud mot barnearbeid (FNs barnekonvensjon artikkel 32, ILO-konvensjoner nr. 138 og 182)</w:t>
            </w:r>
          </w:p>
          <w:p w:rsidR="00CC42DF" w:rsidP="00CC42DF" w:rsidRDefault="00CC42DF" w14:paraId="71D4A5AD" w14:textId="77777777">
            <w:pPr>
              <w:ind w:left="709" w:hanging="425"/>
              <w:rPr>
                <w:rFonts w:asciiTheme="majorHAnsi" w:hAnsiTheme="majorHAnsi"/>
                <w:sz w:val="20"/>
                <w:szCs w:val="20"/>
              </w:rPr>
            </w:pPr>
            <w:r>
              <w:rPr>
                <w:rFonts w:asciiTheme="majorHAnsi" w:hAnsiTheme="majorHAnsi"/>
                <w:sz w:val="20"/>
                <w:szCs w:val="20"/>
              </w:rPr>
              <w:t>b)</w:t>
            </w:r>
            <w:r>
              <w:rPr>
                <w:rFonts w:asciiTheme="majorHAnsi" w:hAnsiTheme="majorHAnsi"/>
                <w:sz w:val="20"/>
                <w:szCs w:val="20"/>
              </w:rPr>
              <w:tab/>
            </w:r>
            <w:r>
              <w:rPr>
                <w:rFonts w:asciiTheme="majorHAnsi" w:hAnsiTheme="majorHAnsi"/>
                <w:sz w:val="20"/>
                <w:szCs w:val="20"/>
              </w:rPr>
              <w:t>Forbud mot tvangsarbeid/slavearbeid (ILO-konvensjoner nr. 29 og 105)</w:t>
            </w:r>
          </w:p>
          <w:p w:rsidR="00CC42DF" w:rsidP="00CC42DF" w:rsidRDefault="00CC42DF" w14:paraId="05E4D6B6" w14:textId="77777777">
            <w:pPr>
              <w:ind w:left="709" w:hanging="425"/>
              <w:rPr>
                <w:rFonts w:asciiTheme="majorHAnsi" w:hAnsiTheme="majorHAnsi"/>
                <w:sz w:val="20"/>
                <w:szCs w:val="20"/>
              </w:rPr>
            </w:pPr>
            <w:r>
              <w:rPr>
                <w:rFonts w:asciiTheme="majorHAnsi" w:hAnsiTheme="majorHAnsi"/>
                <w:sz w:val="20"/>
                <w:szCs w:val="20"/>
              </w:rPr>
              <w:t>c)</w:t>
            </w:r>
            <w:r>
              <w:rPr>
                <w:rFonts w:asciiTheme="majorHAnsi" w:hAnsiTheme="majorHAnsi"/>
                <w:sz w:val="20"/>
                <w:szCs w:val="20"/>
              </w:rPr>
              <w:tab/>
            </w:r>
            <w:r>
              <w:rPr>
                <w:rFonts w:asciiTheme="majorHAnsi" w:hAnsiTheme="majorHAnsi"/>
                <w:sz w:val="20"/>
                <w:szCs w:val="20"/>
              </w:rPr>
              <w:t>Forbud mot diskriminering (ILO-konvensjoner nr. 100 og 111)</w:t>
            </w:r>
          </w:p>
          <w:p w:rsidR="00CC42DF" w:rsidP="00CC42DF" w:rsidRDefault="00CC42DF" w14:paraId="370DB725" w14:textId="77777777">
            <w:pPr>
              <w:ind w:left="709" w:hanging="425"/>
              <w:rPr>
                <w:rFonts w:asciiTheme="majorHAnsi" w:hAnsiTheme="majorHAnsi"/>
                <w:sz w:val="20"/>
                <w:szCs w:val="20"/>
              </w:rPr>
            </w:pPr>
            <w:r>
              <w:rPr>
                <w:rFonts w:asciiTheme="majorHAnsi" w:hAnsiTheme="majorHAnsi"/>
                <w:sz w:val="20"/>
                <w:szCs w:val="20"/>
              </w:rPr>
              <w:t>d)</w:t>
            </w:r>
            <w:r>
              <w:rPr>
                <w:rFonts w:asciiTheme="majorHAnsi" w:hAnsiTheme="majorHAnsi"/>
                <w:sz w:val="20"/>
                <w:szCs w:val="20"/>
              </w:rPr>
              <w:tab/>
            </w:r>
            <w:r>
              <w:rPr>
                <w:rFonts w:asciiTheme="majorHAnsi" w:hAnsiTheme="majorHAnsi"/>
                <w:sz w:val="20"/>
                <w:szCs w:val="20"/>
              </w:rPr>
              <w:t>Organisasjonsfrihet og retten til kollektive forhandlinger (ILO-konvensjoner nr. 87 og 98)</w:t>
            </w:r>
          </w:p>
          <w:p w:rsidR="00CC42DF" w:rsidP="00CC42DF" w:rsidRDefault="00CC42DF" w14:paraId="2437D4AB" w14:textId="77777777">
            <w:pPr>
              <w:rPr>
                <w:rFonts w:asciiTheme="majorHAnsi" w:hAnsiTheme="majorHAnsi"/>
                <w:sz w:val="20"/>
                <w:szCs w:val="20"/>
              </w:rPr>
            </w:pPr>
          </w:p>
          <w:p w:rsidR="00CC42DF" w:rsidP="00CC42DF" w:rsidRDefault="00D11506" w14:paraId="0CE66FE1" w14:textId="14D8A2E5">
            <w:pPr>
              <w:rPr>
                <w:rFonts w:asciiTheme="majorHAnsi" w:hAnsiTheme="majorHAnsi"/>
                <w:sz w:val="20"/>
                <w:szCs w:val="20"/>
                <w:u w:val="single"/>
              </w:rPr>
            </w:pPr>
            <w:r>
              <w:rPr>
                <w:rFonts w:asciiTheme="majorHAnsi" w:hAnsiTheme="majorHAnsi"/>
                <w:sz w:val="20"/>
                <w:szCs w:val="20"/>
              </w:rPr>
              <w:t>11.5</w:t>
            </w:r>
            <w:r w:rsidR="00CC42DF">
              <w:rPr>
                <w:rFonts w:asciiTheme="majorHAnsi" w:hAnsiTheme="majorHAnsi"/>
                <w:sz w:val="20"/>
                <w:szCs w:val="20"/>
              </w:rPr>
              <w:t xml:space="preserve">.3 </w:t>
            </w:r>
            <w:r w:rsidR="00CC42DF">
              <w:rPr>
                <w:rFonts w:asciiTheme="majorHAnsi" w:hAnsiTheme="majorHAnsi"/>
                <w:sz w:val="20"/>
                <w:szCs w:val="20"/>
                <w:u w:val="single"/>
              </w:rPr>
              <w:t>Retningslinjer og prosedyrer for aktsomhetsvurderinger</w:t>
            </w:r>
          </w:p>
          <w:p w:rsidR="00CC42DF" w:rsidP="00CC42DF" w:rsidRDefault="00CC42DF" w14:paraId="7F5EB059" w14:textId="2469B66E">
            <w:pPr>
              <w:rPr>
                <w:rFonts w:asciiTheme="majorHAnsi" w:hAnsiTheme="majorHAnsi"/>
                <w:sz w:val="20"/>
                <w:szCs w:val="20"/>
              </w:rPr>
            </w:pPr>
            <w:r>
              <w:rPr>
                <w:rFonts w:asciiTheme="majorHAnsi" w:hAnsiTheme="majorHAnsi"/>
                <w:sz w:val="20"/>
                <w:szCs w:val="20"/>
              </w:rPr>
              <w:t xml:space="preserve">For å sikre etterlevelse av kravene i punkt </w:t>
            </w:r>
            <w:r w:rsidR="00D11506">
              <w:rPr>
                <w:rFonts w:asciiTheme="majorHAnsi" w:hAnsiTheme="majorHAnsi"/>
                <w:sz w:val="20"/>
                <w:szCs w:val="20"/>
              </w:rPr>
              <w:t>11.5</w:t>
            </w:r>
            <w:r>
              <w:rPr>
                <w:rFonts w:asciiTheme="majorHAnsi" w:hAnsiTheme="majorHAnsi"/>
                <w:sz w:val="20"/>
                <w:szCs w:val="20"/>
              </w:rPr>
              <w:t xml:space="preserve">.2, samt for å forebygge og håndtere eventuelle avvik fra kravene, skal leverandøren senest innen 6 måneder etter kontraktsinngåelse, ha retningslinjer og prosedyrer på plass for aktsomhetsvurdering. </w:t>
            </w:r>
          </w:p>
          <w:p w:rsidR="00CC42DF" w:rsidP="00CC42DF" w:rsidRDefault="00CC42DF" w14:paraId="6EA04D93" w14:textId="77777777">
            <w:pPr>
              <w:rPr>
                <w:rFonts w:asciiTheme="majorHAnsi" w:hAnsiTheme="majorHAnsi"/>
                <w:sz w:val="20"/>
                <w:szCs w:val="20"/>
              </w:rPr>
            </w:pPr>
          </w:p>
          <w:p w:rsidR="00CC42DF" w:rsidP="00CC42DF" w:rsidRDefault="00CC42DF" w14:paraId="16CCFB5D" w14:textId="37A20141">
            <w:pPr>
              <w:rPr>
                <w:rFonts w:asciiTheme="majorHAnsi" w:hAnsiTheme="majorHAnsi"/>
                <w:sz w:val="20"/>
                <w:szCs w:val="20"/>
              </w:rPr>
            </w:pPr>
            <w:r>
              <w:rPr>
                <w:rFonts w:asciiTheme="majorHAnsi" w:hAnsiTheme="majorHAnsi"/>
                <w:sz w:val="20"/>
                <w:szCs w:val="20"/>
              </w:rPr>
              <w:t xml:space="preserve">Det betyr at leverandøren skal kartlegge, forebygge, begrense og gjøre rede for hvordan de håndterer risiko for negativ påvirkning på kravene i punkt </w:t>
            </w:r>
            <w:r>
              <w:rPr>
                <w:rFonts w:asciiTheme="majorHAnsi" w:hAnsiTheme="majorHAnsi"/>
                <w:sz w:val="20"/>
                <w:szCs w:val="20"/>
              </w:rPr>
              <w:fldChar w:fldCharType="begin"/>
            </w:r>
            <w:r>
              <w:rPr>
                <w:rFonts w:asciiTheme="majorHAnsi" w:hAnsiTheme="majorHAnsi"/>
                <w:sz w:val="20"/>
                <w:szCs w:val="20"/>
              </w:rPr>
              <w:instrText xml:space="preserve"> REF _Ref122093586 \r \h  \* MERGEFORMAT </w:instrText>
            </w:r>
            <w:r>
              <w:rPr>
                <w:rFonts w:asciiTheme="majorHAnsi" w:hAnsiTheme="majorHAnsi"/>
                <w:sz w:val="20"/>
                <w:szCs w:val="20"/>
              </w:rPr>
            </w:r>
            <w:r>
              <w:rPr>
                <w:rFonts w:asciiTheme="majorHAnsi" w:hAnsiTheme="majorHAnsi"/>
                <w:sz w:val="20"/>
                <w:szCs w:val="20"/>
              </w:rPr>
              <w:fldChar w:fldCharType="separate"/>
            </w:r>
            <w:r w:rsidR="00D11506">
              <w:rPr>
                <w:rFonts w:asciiTheme="majorHAnsi" w:hAnsiTheme="majorHAnsi"/>
                <w:sz w:val="20"/>
                <w:szCs w:val="20"/>
              </w:rPr>
              <w:t>11.5</w:t>
            </w:r>
            <w:r>
              <w:rPr>
                <w:rFonts w:asciiTheme="majorHAnsi" w:hAnsiTheme="majorHAnsi"/>
                <w:sz w:val="20"/>
                <w:szCs w:val="20"/>
              </w:rPr>
              <w:t>.2</w:t>
            </w:r>
            <w:r>
              <w:rPr>
                <w:rFonts w:asciiTheme="majorHAnsi" w:hAnsiTheme="majorHAnsi"/>
                <w:sz w:val="20"/>
                <w:szCs w:val="20"/>
              </w:rPr>
              <w:fldChar w:fldCharType="end"/>
            </w:r>
            <w:r>
              <w:rPr>
                <w:rFonts w:asciiTheme="majorHAnsi" w:hAnsiTheme="majorHAnsi"/>
                <w:sz w:val="20"/>
                <w:szCs w:val="20"/>
              </w:rPr>
              <w:t>, og retter opp skade. I tråd med metoden for aktsomhetsvurderinger skal interessenter, særlig berørte rettighetshavere, involveres. Alvorligst risiko, uavhengig av hvor i leverandørkjeden risikoen er, prioriteres først.</w:t>
            </w:r>
          </w:p>
          <w:p w:rsidR="00CC42DF" w:rsidP="00CC42DF" w:rsidRDefault="00CC42DF" w14:paraId="50D3D51C" w14:textId="77777777">
            <w:pPr>
              <w:rPr>
                <w:rFonts w:asciiTheme="majorHAnsi" w:hAnsiTheme="majorHAnsi"/>
                <w:sz w:val="20"/>
                <w:szCs w:val="20"/>
              </w:rPr>
            </w:pPr>
          </w:p>
          <w:p w:rsidR="00CC42DF" w:rsidP="00CC42DF" w:rsidRDefault="00CC42DF" w14:paraId="69A36118" w14:textId="77777777">
            <w:pPr>
              <w:rPr>
                <w:rFonts w:asciiTheme="majorHAnsi" w:hAnsiTheme="majorHAnsi"/>
                <w:sz w:val="20"/>
                <w:szCs w:val="20"/>
              </w:rPr>
            </w:pPr>
            <w:r>
              <w:rPr>
                <w:rFonts w:asciiTheme="majorHAnsi" w:hAnsiTheme="majorHAnsi"/>
                <w:sz w:val="20"/>
                <w:szCs w:val="20"/>
              </w:rPr>
              <w:t xml:space="preserve">Senest innen 6 måneder etter kontraktsinngåelse, skal leverandøren ha:  </w:t>
            </w:r>
          </w:p>
          <w:p w:rsidR="00CC42DF" w:rsidP="00CC42DF" w:rsidRDefault="00CC42DF" w14:paraId="3BD0D253" w14:textId="54621B2D">
            <w:pPr>
              <w:pStyle w:val="Listeavsnitt"/>
              <w:numPr>
                <w:ilvl w:val="0"/>
                <w:numId w:val="2"/>
              </w:numPr>
              <w:rPr>
                <w:rFonts w:asciiTheme="majorHAnsi" w:hAnsiTheme="majorHAnsi"/>
                <w:sz w:val="20"/>
                <w:szCs w:val="20"/>
                <w:lang w:eastAsia="en-US"/>
              </w:rPr>
            </w:pPr>
            <w:r>
              <w:rPr>
                <w:rFonts w:asciiTheme="majorHAnsi" w:hAnsiTheme="majorHAnsi"/>
                <w:sz w:val="20"/>
                <w:szCs w:val="20"/>
                <w:lang w:eastAsia="en-US"/>
              </w:rPr>
              <w:t xml:space="preserve">Offentlig tilgjengelige retningslinjer for ivaretakelse av grunnleggende menneskerettigheter i leverandørkjeden, vedtatt av styret. Innholdet skal som minimum omfatte en forpliktelse om å etterleve kravene i punkt </w:t>
            </w:r>
            <w:r w:rsidR="00D11506">
              <w:rPr>
                <w:rFonts w:asciiTheme="majorHAnsi" w:hAnsiTheme="majorHAnsi"/>
                <w:sz w:val="20"/>
                <w:szCs w:val="20"/>
                <w:lang w:eastAsia="en-US"/>
              </w:rPr>
              <w:t>11.5</w:t>
            </w:r>
            <w:r>
              <w:rPr>
                <w:rFonts w:asciiTheme="majorHAnsi" w:hAnsiTheme="majorHAnsi"/>
                <w:sz w:val="20"/>
                <w:szCs w:val="20"/>
                <w:lang w:eastAsia="en-US"/>
              </w:rPr>
              <w:t>.2, i egen virksomhet og i leverandørkjeden. </w:t>
            </w:r>
          </w:p>
          <w:p w:rsidR="00CC42DF" w:rsidP="00CC42DF" w:rsidRDefault="00CC42DF" w14:paraId="5521969D" w14:textId="77777777">
            <w:pPr>
              <w:pStyle w:val="Listeavsnitt"/>
              <w:numPr>
                <w:ilvl w:val="0"/>
                <w:numId w:val="2"/>
              </w:numPr>
              <w:rPr>
                <w:rFonts w:asciiTheme="majorHAnsi" w:hAnsiTheme="majorHAnsi"/>
                <w:sz w:val="20"/>
                <w:szCs w:val="20"/>
                <w:lang w:eastAsia="en-US"/>
              </w:rPr>
            </w:pPr>
            <w:r>
              <w:rPr>
                <w:rFonts w:asciiTheme="majorHAnsi" w:hAnsiTheme="majorHAnsi"/>
                <w:sz w:val="20"/>
                <w:szCs w:val="20"/>
                <w:lang w:eastAsia="en-US"/>
              </w:rPr>
              <w:t xml:space="preserve">En eller flere ansatte på ledelsesnivå som har ansvar for etterlevelse og rapportering om arbeidet med aktsomhetsvurderinger til styret. </w:t>
            </w:r>
          </w:p>
          <w:p w:rsidR="00CC42DF" w:rsidP="00CC42DF" w:rsidRDefault="00CC42DF" w14:paraId="049BE46C" w14:textId="77777777">
            <w:pPr>
              <w:pStyle w:val="Listeavsnitt"/>
              <w:numPr>
                <w:ilvl w:val="0"/>
                <w:numId w:val="2"/>
              </w:numPr>
              <w:rPr>
                <w:rFonts w:asciiTheme="majorHAnsi" w:hAnsiTheme="majorHAnsi"/>
                <w:sz w:val="20"/>
                <w:szCs w:val="20"/>
                <w:lang w:eastAsia="en-US"/>
              </w:rPr>
            </w:pPr>
            <w:r>
              <w:rPr>
                <w:rFonts w:asciiTheme="majorHAnsi" w:hAnsiTheme="majorHAnsi"/>
                <w:sz w:val="20"/>
                <w:szCs w:val="20"/>
                <w:lang w:eastAsia="en-US"/>
              </w:rPr>
              <w:t>Prosedyrer for formidling og regelmessig oppfølgning av retningslinjer og prosedyrer i egen virksomhet og i leverandørkjeden.</w:t>
            </w:r>
          </w:p>
          <w:p w:rsidR="00CC42DF" w:rsidP="00CC42DF" w:rsidRDefault="00CC42DF" w14:paraId="6B96BF79" w14:textId="2C767C98">
            <w:pPr>
              <w:pStyle w:val="Listeavsnitt"/>
              <w:numPr>
                <w:ilvl w:val="0"/>
                <w:numId w:val="2"/>
              </w:numPr>
              <w:rPr>
                <w:rFonts w:asciiTheme="majorHAnsi" w:hAnsiTheme="majorHAnsi"/>
                <w:sz w:val="20"/>
                <w:szCs w:val="20"/>
                <w:lang w:eastAsia="en-US"/>
              </w:rPr>
            </w:pPr>
            <w:r>
              <w:rPr>
                <w:rFonts w:asciiTheme="majorHAnsi" w:hAnsiTheme="majorHAnsi"/>
                <w:sz w:val="20"/>
                <w:szCs w:val="20"/>
                <w:lang w:eastAsia="en-US"/>
              </w:rPr>
              <w:t xml:space="preserve">Prosedyrer for å utføre regelmessige risikoanalyser i egen virksomhet og i leverandørkjeden. Dette innebærer å kartlegge og vurdere risiko for brudd på kravene i punkt </w:t>
            </w:r>
            <w:r w:rsidR="00D11506">
              <w:rPr>
                <w:rFonts w:asciiTheme="majorHAnsi" w:hAnsiTheme="majorHAnsi"/>
                <w:sz w:val="20"/>
                <w:szCs w:val="20"/>
                <w:lang w:eastAsia="en-US"/>
              </w:rPr>
              <w:t>11.5</w:t>
            </w:r>
            <w:r>
              <w:rPr>
                <w:rFonts w:asciiTheme="majorHAnsi" w:hAnsiTheme="majorHAnsi"/>
                <w:sz w:val="20"/>
                <w:szCs w:val="20"/>
                <w:lang w:eastAsia="en-US"/>
              </w:rPr>
              <w:t>.2.</w:t>
            </w:r>
          </w:p>
          <w:p w:rsidR="00CC42DF" w:rsidP="00CC42DF" w:rsidRDefault="00CC42DF" w14:paraId="113C86A9" w14:textId="2796A8D4">
            <w:pPr>
              <w:pStyle w:val="Listeavsnitt"/>
              <w:numPr>
                <w:ilvl w:val="0"/>
                <w:numId w:val="2"/>
              </w:numPr>
              <w:rPr>
                <w:rFonts w:asciiTheme="majorHAnsi" w:hAnsiTheme="majorHAnsi"/>
                <w:sz w:val="20"/>
                <w:szCs w:val="20"/>
                <w:lang w:eastAsia="en-US"/>
              </w:rPr>
            </w:pPr>
            <w:r>
              <w:rPr>
                <w:rFonts w:asciiTheme="majorHAnsi" w:hAnsiTheme="majorHAnsi"/>
                <w:sz w:val="20"/>
                <w:szCs w:val="20"/>
                <w:lang w:eastAsia="en-US"/>
              </w:rPr>
              <w:t xml:space="preserve">Prosedyrer som beskriver hvilke tiltak leverandøren vil iverksette for å stanse, forebygge eller redusere negativ påvirkning og skade på kravene i punkt </w:t>
            </w:r>
            <w:r w:rsidR="00D11506">
              <w:rPr>
                <w:rFonts w:asciiTheme="majorHAnsi" w:hAnsiTheme="majorHAnsi"/>
                <w:sz w:val="20"/>
                <w:szCs w:val="20"/>
                <w:lang w:eastAsia="en-US"/>
              </w:rPr>
              <w:t>11.5</w:t>
            </w:r>
            <w:r>
              <w:rPr>
                <w:rFonts w:asciiTheme="majorHAnsi" w:hAnsiTheme="majorHAnsi"/>
                <w:sz w:val="20"/>
                <w:szCs w:val="20"/>
                <w:lang w:eastAsia="en-US"/>
              </w:rPr>
              <w:t xml:space="preserve">.2. </w:t>
            </w:r>
          </w:p>
          <w:p w:rsidR="00CC42DF" w:rsidP="00CC42DF" w:rsidRDefault="00CC42DF" w14:paraId="5A06C50E" w14:textId="77777777">
            <w:pPr>
              <w:rPr>
                <w:rFonts w:asciiTheme="majorHAnsi" w:hAnsiTheme="majorHAnsi"/>
                <w:sz w:val="20"/>
                <w:szCs w:val="20"/>
              </w:rPr>
            </w:pPr>
          </w:p>
          <w:p w:rsidR="00CC42DF" w:rsidP="00CC42DF" w:rsidRDefault="00CC42DF" w14:paraId="50C284C0" w14:textId="40AA76EC">
            <w:pPr>
              <w:rPr>
                <w:rFonts w:asciiTheme="majorHAnsi" w:hAnsiTheme="majorHAnsi"/>
                <w:sz w:val="20"/>
                <w:szCs w:val="20"/>
              </w:rPr>
            </w:pPr>
            <w:r>
              <w:rPr>
                <w:rFonts w:asciiTheme="majorHAnsi" w:hAnsiTheme="majorHAnsi"/>
                <w:sz w:val="20"/>
                <w:szCs w:val="20"/>
              </w:rPr>
              <w:t xml:space="preserve">Leverandøren skal kunne vise til offentlig tilgjengelig informasjon om arbeidet med aktsomhetsvurderinger i egen virksomhet og i leverandørkjeden. Dette omfatter hvordan risiko for brudd på kravene i punkt </w:t>
            </w:r>
            <w:r w:rsidR="00D11506">
              <w:rPr>
                <w:rFonts w:asciiTheme="majorHAnsi" w:hAnsiTheme="majorHAnsi"/>
                <w:sz w:val="20"/>
                <w:szCs w:val="20"/>
              </w:rPr>
              <w:t>11.5</w:t>
            </w:r>
            <w:r>
              <w:rPr>
                <w:rFonts w:asciiTheme="majorHAnsi" w:hAnsiTheme="majorHAnsi"/>
                <w:sz w:val="20"/>
                <w:szCs w:val="20"/>
              </w:rPr>
              <w:t xml:space="preserve">.2 og eventuell skade i egen virksomhet og i leverandørkjeden, er håndtert.  </w:t>
            </w:r>
          </w:p>
          <w:p w:rsidR="00CC42DF" w:rsidP="00CC42DF" w:rsidRDefault="00CC42DF" w14:paraId="516B8B59" w14:textId="77777777">
            <w:pPr>
              <w:rPr>
                <w:rFonts w:asciiTheme="majorHAnsi" w:hAnsiTheme="majorHAnsi"/>
                <w:sz w:val="20"/>
                <w:szCs w:val="20"/>
              </w:rPr>
            </w:pPr>
          </w:p>
          <w:p w:rsidR="00CC42DF" w:rsidP="00CC42DF" w:rsidRDefault="00CC42DF" w14:paraId="25CDA7C1" w14:textId="77777777">
            <w:pPr>
              <w:rPr>
                <w:rFonts w:asciiTheme="majorHAnsi" w:hAnsiTheme="majorHAnsi"/>
                <w:sz w:val="20"/>
                <w:szCs w:val="20"/>
              </w:rPr>
            </w:pPr>
            <w:r>
              <w:rPr>
                <w:rFonts w:asciiTheme="majorHAnsi" w:hAnsiTheme="majorHAnsi"/>
                <w:sz w:val="20"/>
                <w:szCs w:val="20"/>
              </w:rPr>
              <w:t>Dersom leverandøren har forårsaket, eller medvirket til skade, skal leverandøren sørge for å rette opp skaden og yte erstatning til skadelidende.</w:t>
            </w:r>
          </w:p>
          <w:p w:rsidR="00CC42DF" w:rsidP="00CC42DF" w:rsidRDefault="00CC42DF" w14:paraId="5DA96975" w14:textId="77777777">
            <w:pPr>
              <w:pStyle w:val="Listeavsnitt"/>
              <w:ind w:left="1068"/>
              <w:rPr>
                <w:rFonts w:asciiTheme="majorHAnsi" w:hAnsiTheme="majorHAnsi"/>
                <w:sz w:val="20"/>
                <w:szCs w:val="20"/>
                <w:lang w:eastAsia="en-US"/>
              </w:rPr>
            </w:pPr>
          </w:p>
          <w:p w:rsidR="00CC42DF" w:rsidP="00CC42DF" w:rsidRDefault="00CC42DF" w14:paraId="473F9F3F" w14:textId="08F14F71">
            <w:pPr>
              <w:pStyle w:val="Overskrift4"/>
              <w:numPr>
                <w:ilvl w:val="0"/>
                <w:numId w:val="0"/>
              </w:numPr>
              <w:rPr>
                <w:rFonts w:eastAsia="Times New Roman" w:cs="Times New Roman"/>
                <w:i w:val="0"/>
                <w:iCs w:val="0"/>
                <w:color w:val="auto"/>
                <w:sz w:val="20"/>
                <w:szCs w:val="20"/>
                <w:u w:val="single"/>
              </w:rPr>
            </w:pPr>
            <w:bookmarkStart w:name="_Ref119666981" w:id="2"/>
            <w:r>
              <w:rPr>
                <w:rFonts w:eastAsia="Times New Roman" w:cs="Times New Roman"/>
                <w:i w:val="0"/>
                <w:iCs w:val="0"/>
                <w:color w:val="auto"/>
                <w:sz w:val="20"/>
                <w:szCs w:val="20"/>
              </w:rPr>
              <w:t>11.</w:t>
            </w:r>
            <w:r w:rsidR="00D11506">
              <w:rPr>
                <w:rFonts w:eastAsia="Times New Roman" w:cs="Times New Roman"/>
                <w:i w:val="0"/>
                <w:iCs w:val="0"/>
                <w:color w:val="auto"/>
                <w:sz w:val="20"/>
                <w:szCs w:val="20"/>
              </w:rPr>
              <w:t>5</w:t>
            </w:r>
            <w:r>
              <w:rPr>
                <w:rFonts w:eastAsia="Times New Roman" w:cs="Times New Roman"/>
                <w:i w:val="0"/>
                <w:iCs w:val="0"/>
                <w:color w:val="auto"/>
                <w:sz w:val="20"/>
                <w:szCs w:val="20"/>
              </w:rPr>
              <w:t xml:space="preserve">.4 </w:t>
            </w:r>
            <w:bookmarkEnd w:id="2"/>
            <w:r>
              <w:rPr>
                <w:rFonts w:eastAsia="Times New Roman" w:cs="Times New Roman"/>
                <w:i w:val="0"/>
                <w:iCs w:val="0"/>
                <w:color w:val="auto"/>
                <w:sz w:val="20"/>
                <w:szCs w:val="20"/>
                <w:u w:val="single"/>
              </w:rPr>
              <w:t xml:space="preserve">Oppfølging av rammeavtalen </w:t>
            </w:r>
          </w:p>
          <w:p w:rsidR="00CC42DF" w:rsidP="00CC42DF" w:rsidRDefault="00CC42DF" w14:paraId="6ECD0362" w14:textId="6EA51A94">
            <w:pPr>
              <w:rPr>
                <w:rFonts w:asciiTheme="majorHAnsi" w:hAnsiTheme="majorHAnsi"/>
                <w:sz w:val="20"/>
                <w:szCs w:val="20"/>
              </w:rPr>
            </w:pPr>
            <w:r>
              <w:rPr>
                <w:rFonts w:asciiTheme="majorHAnsi" w:hAnsiTheme="majorHAnsi"/>
                <w:sz w:val="20"/>
                <w:szCs w:val="20"/>
              </w:rPr>
              <w:t xml:space="preserve">Leverandøren skal sikre at kravene i punkt </w:t>
            </w:r>
            <w:r w:rsidR="00D11506">
              <w:rPr>
                <w:rFonts w:asciiTheme="majorHAnsi" w:hAnsiTheme="majorHAnsi"/>
                <w:sz w:val="20"/>
                <w:szCs w:val="20"/>
              </w:rPr>
              <w:t>11.5</w:t>
            </w:r>
            <w:r>
              <w:rPr>
                <w:rFonts w:asciiTheme="majorHAnsi" w:hAnsiTheme="majorHAnsi"/>
                <w:sz w:val="20"/>
                <w:szCs w:val="20"/>
              </w:rPr>
              <w:t xml:space="preserve">.2, samt </w:t>
            </w:r>
            <w:r w:rsidR="00D11506">
              <w:rPr>
                <w:rFonts w:asciiTheme="majorHAnsi" w:hAnsiTheme="majorHAnsi"/>
                <w:sz w:val="20"/>
                <w:szCs w:val="20"/>
              </w:rPr>
              <w:t>11.5</w:t>
            </w:r>
            <w:r>
              <w:rPr>
                <w:rFonts w:asciiTheme="majorHAnsi" w:hAnsiTheme="majorHAnsi"/>
                <w:sz w:val="20"/>
                <w:szCs w:val="20"/>
              </w:rPr>
              <w:t>.3</w:t>
            </w:r>
            <w:r>
              <w:rPr>
                <w:rFonts w:asciiTheme="majorHAnsi" w:hAnsiTheme="majorHAnsi"/>
                <w:sz w:val="20"/>
                <w:szCs w:val="20"/>
              </w:rPr>
              <w:fldChar w:fldCharType="begin"/>
            </w:r>
            <w:r>
              <w:rPr>
                <w:rFonts w:asciiTheme="majorHAnsi" w:hAnsiTheme="majorHAnsi"/>
                <w:sz w:val="20"/>
                <w:szCs w:val="20"/>
              </w:rPr>
              <w:instrText xml:space="preserve"> REF _Ref119666876 \r \h  \* MERGEFORMAT </w:instrText>
            </w:r>
            <w:r>
              <w:rPr>
                <w:rFonts w:asciiTheme="majorHAnsi" w:hAnsiTheme="majorHAnsi"/>
                <w:sz w:val="20"/>
                <w:szCs w:val="20"/>
              </w:rPr>
            </w:r>
            <w:r>
              <w:rPr>
                <w:rFonts w:asciiTheme="majorHAnsi" w:hAnsiTheme="majorHAnsi"/>
                <w:sz w:val="20"/>
                <w:szCs w:val="20"/>
              </w:rPr>
              <w:fldChar w:fldCharType="separate"/>
            </w:r>
            <w:r>
              <w:rPr>
                <w:rFonts w:asciiTheme="majorHAnsi" w:hAnsiTheme="majorHAnsi"/>
                <w:sz w:val="20"/>
                <w:szCs w:val="20"/>
              </w:rPr>
              <w:fldChar w:fldCharType="end"/>
            </w:r>
            <w:r>
              <w:rPr>
                <w:rFonts w:asciiTheme="majorHAnsi" w:hAnsiTheme="majorHAnsi"/>
                <w:sz w:val="20"/>
                <w:szCs w:val="20"/>
              </w:rPr>
              <w:t xml:space="preserve"> etterleves i egen virksomhet og i leverandørkjeden. Dersom leverandøren blir klar over forhold i strid med punkt </w:t>
            </w:r>
            <w:r w:rsidR="00D11506">
              <w:rPr>
                <w:rFonts w:asciiTheme="majorHAnsi" w:hAnsiTheme="majorHAnsi"/>
                <w:sz w:val="20"/>
                <w:szCs w:val="20"/>
              </w:rPr>
              <w:t>11.5</w:t>
            </w:r>
            <w:r>
              <w:rPr>
                <w:rFonts w:asciiTheme="majorHAnsi" w:hAnsiTheme="majorHAnsi"/>
                <w:sz w:val="20"/>
                <w:szCs w:val="20"/>
              </w:rPr>
              <w:t xml:space="preserve">.2 og </w:t>
            </w:r>
            <w:r w:rsidR="00D11506">
              <w:rPr>
                <w:rFonts w:asciiTheme="majorHAnsi" w:hAnsiTheme="majorHAnsi"/>
                <w:sz w:val="20"/>
                <w:szCs w:val="20"/>
              </w:rPr>
              <w:t>11.5</w:t>
            </w:r>
            <w:r>
              <w:rPr>
                <w:rFonts w:asciiTheme="majorHAnsi" w:hAnsiTheme="majorHAnsi"/>
                <w:sz w:val="20"/>
                <w:szCs w:val="20"/>
              </w:rPr>
              <w:t xml:space="preserve">.3 i leverandørkjeden, skal leverandøren rapportere dette til Forsvarsbygg uten ugrunnet opphold. </w:t>
            </w:r>
          </w:p>
          <w:p w:rsidR="00CC42DF" w:rsidP="00CC42DF" w:rsidRDefault="00CC42DF" w14:paraId="4A07BC17" w14:textId="77777777">
            <w:pPr>
              <w:rPr>
                <w:rFonts w:asciiTheme="majorHAnsi" w:hAnsiTheme="majorHAnsi"/>
                <w:sz w:val="20"/>
                <w:szCs w:val="20"/>
              </w:rPr>
            </w:pPr>
          </w:p>
          <w:p w:rsidR="00CC42DF" w:rsidP="00CC42DF" w:rsidRDefault="00CC42DF" w14:paraId="25C79101" w14:textId="77777777">
            <w:pPr>
              <w:rPr>
                <w:rFonts w:cs="Times New Roman" w:asciiTheme="majorHAnsi" w:hAnsiTheme="majorHAnsi"/>
                <w:sz w:val="20"/>
                <w:szCs w:val="20"/>
              </w:rPr>
            </w:pPr>
            <w:r>
              <w:rPr>
                <w:rFonts w:asciiTheme="majorHAnsi" w:hAnsiTheme="majorHAnsi"/>
                <w:sz w:val="20"/>
                <w:szCs w:val="20"/>
              </w:rPr>
              <w:t xml:space="preserve">Forsvarsbygg kan kreve at leverandøren dokumenterer etterlevelse ved hjelp av et eller flere av følgende tiltak: </w:t>
            </w:r>
          </w:p>
          <w:p w:rsidR="00CC42DF" w:rsidP="00CC42DF" w:rsidRDefault="00CC42DF" w14:paraId="74129440" w14:textId="2B7E5E37">
            <w:pPr>
              <w:pStyle w:val="Listeavsnitt"/>
              <w:numPr>
                <w:ilvl w:val="0"/>
                <w:numId w:val="3"/>
              </w:numPr>
              <w:rPr>
                <w:rFonts w:asciiTheme="majorHAnsi" w:hAnsiTheme="majorHAnsi"/>
                <w:sz w:val="20"/>
                <w:szCs w:val="20"/>
                <w:lang w:eastAsia="en-US"/>
              </w:rPr>
            </w:pPr>
            <w:r>
              <w:rPr>
                <w:rFonts w:asciiTheme="majorHAnsi" w:hAnsiTheme="majorHAnsi"/>
                <w:sz w:val="20"/>
                <w:szCs w:val="20"/>
                <w:lang w:eastAsia="en-US"/>
              </w:rPr>
              <w:t xml:space="preserve">Fremvise vedtatte retningslinjer og prosedyrer, jf. punkt </w:t>
            </w:r>
            <w:r w:rsidR="00D11506">
              <w:rPr>
                <w:rFonts w:asciiTheme="majorHAnsi" w:hAnsiTheme="majorHAnsi"/>
                <w:sz w:val="20"/>
                <w:szCs w:val="20"/>
                <w:lang w:eastAsia="en-US"/>
              </w:rPr>
              <w:t>11.5</w:t>
            </w:r>
            <w:r>
              <w:rPr>
                <w:rFonts w:asciiTheme="majorHAnsi" w:hAnsiTheme="majorHAnsi"/>
                <w:sz w:val="20"/>
                <w:szCs w:val="20"/>
                <w:lang w:eastAsia="en-US"/>
              </w:rPr>
              <w:t xml:space="preserve">.2 og </w:t>
            </w:r>
            <w:r w:rsidR="00D11506">
              <w:rPr>
                <w:rFonts w:asciiTheme="majorHAnsi" w:hAnsiTheme="majorHAnsi"/>
                <w:sz w:val="20"/>
                <w:szCs w:val="20"/>
                <w:lang w:eastAsia="en-US"/>
              </w:rPr>
              <w:t>11.5</w:t>
            </w:r>
            <w:r>
              <w:rPr>
                <w:rFonts w:asciiTheme="majorHAnsi" w:hAnsiTheme="majorHAnsi"/>
                <w:sz w:val="20"/>
                <w:szCs w:val="20"/>
                <w:lang w:eastAsia="en-US"/>
              </w:rPr>
              <w:t>.3.</w:t>
            </w:r>
          </w:p>
          <w:p w:rsidR="00CC42DF" w:rsidP="00CC42DF" w:rsidRDefault="00CC42DF" w14:paraId="07CE40A2" w14:textId="77777777">
            <w:pPr>
              <w:pStyle w:val="Listeavsnitt"/>
              <w:numPr>
                <w:ilvl w:val="0"/>
                <w:numId w:val="3"/>
              </w:numPr>
              <w:rPr>
                <w:rFonts w:asciiTheme="majorHAnsi" w:hAnsiTheme="majorHAnsi"/>
                <w:sz w:val="20"/>
                <w:szCs w:val="20"/>
                <w:lang w:eastAsia="en-US"/>
              </w:rPr>
            </w:pPr>
            <w:r>
              <w:rPr>
                <w:rFonts w:asciiTheme="majorHAnsi" w:hAnsiTheme="majorHAnsi"/>
                <w:sz w:val="20"/>
                <w:szCs w:val="20"/>
                <w:lang w:eastAsia="en-US"/>
              </w:rPr>
              <w:t xml:space="preserve">Fremvise en oversikt over produksjonsenheter i leverandørkjeden, inkludert kontaktopplysninger, for utvalgte produkter, og/eller komponenter og/eller råvarer. Forsvarsbygg angir hvilke produkter og hvilken del av leverandørkjeden.  </w:t>
            </w:r>
          </w:p>
          <w:p w:rsidR="00CC42DF" w:rsidP="00CC42DF" w:rsidRDefault="00CC42DF" w14:paraId="0E923130" w14:textId="77777777">
            <w:pPr>
              <w:pStyle w:val="Listeavsnitt"/>
              <w:numPr>
                <w:ilvl w:val="0"/>
                <w:numId w:val="3"/>
              </w:numPr>
              <w:rPr>
                <w:rFonts w:asciiTheme="majorHAnsi" w:hAnsiTheme="majorHAnsi"/>
                <w:sz w:val="20"/>
                <w:szCs w:val="20"/>
                <w:lang w:eastAsia="en-US"/>
              </w:rPr>
            </w:pPr>
            <w:r>
              <w:rPr>
                <w:rFonts w:asciiTheme="majorHAnsi" w:hAnsiTheme="majorHAnsi"/>
                <w:sz w:val="20"/>
                <w:szCs w:val="20"/>
                <w:lang w:eastAsia="en-US"/>
              </w:rPr>
              <w:t xml:space="preserve">Fremvise gjennomført risikoanalyse, og rapportere om oppfølging og håndtering av funnene. </w:t>
            </w:r>
          </w:p>
          <w:p w:rsidR="00CC42DF" w:rsidP="00CC42DF" w:rsidRDefault="00CC42DF" w14:paraId="1975C9F8" w14:textId="77777777">
            <w:pPr>
              <w:pStyle w:val="Listeavsnitt"/>
              <w:numPr>
                <w:ilvl w:val="0"/>
                <w:numId w:val="3"/>
              </w:numPr>
              <w:rPr>
                <w:rFonts w:asciiTheme="majorHAnsi" w:hAnsiTheme="majorHAnsi"/>
                <w:sz w:val="20"/>
                <w:szCs w:val="20"/>
                <w:lang w:eastAsia="en-US"/>
              </w:rPr>
            </w:pPr>
            <w:r>
              <w:rPr>
                <w:rFonts w:asciiTheme="majorHAnsi" w:hAnsiTheme="majorHAnsi"/>
                <w:sz w:val="20"/>
                <w:szCs w:val="20"/>
                <w:lang w:eastAsia="en-US"/>
              </w:rPr>
              <w:t>Delta i oppfølgingssamtale(r) med Forsvarsbygg og eventuelt andre relevante interessenter.</w:t>
            </w:r>
          </w:p>
          <w:p w:rsidR="00CC42DF" w:rsidP="00CC42DF" w:rsidRDefault="00CC42DF" w14:paraId="56D1E62A" w14:textId="0FA2F472">
            <w:pPr>
              <w:pStyle w:val="Listeavsnitt"/>
              <w:numPr>
                <w:ilvl w:val="0"/>
                <w:numId w:val="3"/>
              </w:numPr>
              <w:rPr>
                <w:rFonts w:asciiTheme="majorHAnsi" w:hAnsiTheme="majorHAnsi"/>
                <w:sz w:val="20"/>
                <w:szCs w:val="20"/>
                <w:lang w:eastAsia="en-US"/>
              </w:rPr>
            </w:pPr>
            <w:r>
              <w:rPr>
                <w:rFonts w:asciiTheme="majorHAnsi" w:hAnsiTheme="majorHAnsi"/>
                <w:sz w:val="20"/>
                <w:szCs w:val="20"/>
                <w:lang w:eastAsia="en-US"/>
              </w:rPr>
              <w:t xml:space="preserve">Kontroll eller revisjon av at kravene i punkt </w:t>
            </w:r>
            <w:r w:rsidR="00D11506">
              <w:rPr>
                <w:rFonts w:asciiTheme="majorHAnsi" w:hAnsiTheme="majorHAnsi"/>
                <w:sz w:val="20"/>
                <w:szCs w:val="20"/>
                <w:lang w:eastAsia="en-US"/>
              </w:rPr>
              <w:t>11.5</w:t>
            </w:r>
            <w:r>
              <w:rPr>
                <w:rFonts w:asciiTheme="majorHAnsi" w:hAnsiTheme="majorHAnsi"/>
                <w:sz w:val="20"/>
                <w:szCs w:val="20"/>
                <w:lang w:eastAsia="en-US"/>
              </w:rPr>
              <w:t xml:space="preserve">.2 og </w:t>
            </w:r>
            <w:r w:rsidR="00D11506">
              <w:rPr>
                <w:rFonts w:asciiTheme="majorHAnsi" w:hAnsiTheme="majorHAnsi"/>
                <w:sz w:val="20"/>
                <w:szCs w:val="20"/>
                <w:lang w:eastAsia="en-US"/>
              </w:rPr>
              <w:t>11.5</w:t>
            </w:r>
            <w:r>
              <w:rPr>
                <w:rFonts w:asciiTheme="majorHAnsi" w:hAnsiTheme="majorHAnsi"/>
                <w:sz w:val="20"/>
                <w:szCs w:val="20"/>
                <w:lang w:eastAsia="en-US"/>
              </w:rPr>
              <w:t xml:space="preserve">.3 overholdes hos leverandøren og i leverandørkjeden. </w:t>
            </w:r>
          </w:p>
          <w:p w:rsidR="00CC42DF" w:rsidP="00CC42DF" w:rsidRDefault="00CC42DF" w14:paraId="4D77C681" w14:textId="77777777">
            <w:pPr>
              <w:rPr>
                <w:rFonts w:asciiTheme="majorHAnsi" w:hAnsiTheme="majorHAnsi"/>
                <w:sz w:val="20"/>
                <w:szCs w:val="20"/>
              </w:rPr>
            </w:pPr>
          </w:p>
          <w:p w:rsidR="00CC42DF" w:rsidP="00CC42DF" w:rsidRDefault="00CC42DF" w14:paraId="07071643" w14:textId="77777777">
            <w:pPr>
              <w:rPr>
                <w:rFonts w:asciiTheme="majorHAnsi" w:hAnsiTheme="majorHAnsi"/>
                <w:sz w:val="20"/>
                <w:szCs w:val="20"/>
              </w:rPr>
            </w:pPr>
            <w:r>
              <w:rPr>
                <w:rFonts w:asciiTheme="majorHAnsi" w:hAnsiTheme="majorHAnsi"/>
                <w:sz w:val="20"/>
                <w:szCs w:val="20"/>
              </w:rPr>
              <w:t xml:space="preserve">Kontroll eller revisjon kan gjennomføres av Forsvarsbygg eller av offentlig enhet som Forsvarsbygg samarbeider med. </w:t>
            </w:r>
          </w:p>
          <w:p w:rsidR="00CC42DF" w:rsidP="00CC42DF" w:rsidRDefault="00CC42DF" w14:paraId="35EDC22F" w14:textId="77777777">
            <w:pPr>
              <w:rPr>
                <w:rFonts w:asciiTheme="majorHAnsi" w:hAnsiTheme="majorHAnsi"/>
                <w:sz w:val="20"/>
                <w:szCs w:val="20"/>
              </w:rPr>
            </w:pPr>
            <w:r>
              <w:rPr>
                <w:rFonts w:asciiTheme="majorHAnsi" w:hAnsiTheme="majorHAnsi"/>
                <w:sz w:val="20"/>
                <w:szCs w:val="20"/>
              </w:rPr>
              <w:t xml:space="preserve">Forsvarsbygg forbeholder seg retten til å dele kontroll- og revisjonsrapportene med andre offentlige virksomheter som vil omfattes av taushetsplikten. </w:t>
            </w:r>
          </w:p>
          <w:p w:rsidR="00CC42DF" w:rsidP="00CC42DF" w:rsidRDefault="00CC42DF" w14:paraId="7D3F679A" w14:textId="77777777">
            <w:pPr>
              <w:pStyle w:val="Overskrift4"/>
              <w:numPr>
                <w:ilvl w:val="0"/>
                <w:numId w:val="0"/>
              </w:numPr>
              <w:ind w:left="708"/>
              <w:rPr>
                <w:rFonts w:eastAsia="Times New Roman" w:cs="Times New Roman"/>
                <w:i w:val="0"/>
                <w:iCs w:val="0"/>
                <w:color w:val="auto"/>
                <w:sz w:val="20"/>
                <w:szCs w:val="20"/>
              </w:rPr>
            </w:pPr>
          </w:p>
          <w:p w:rsidR="00CC42DF" w:rsidP="00CC42DF" w:rsidRDefault="00CC42DF" w14:paraId="047679AF" w14:textId="7847F2E2">
            <w:pPr>
              <w:pStyle w:val="Overskrift4"/>
              <w:numPr>
                <w:ilvl w:val="0"/>
                <w:numId w:val="0"/>
              </w:numPr>
              <w:ind w:left="864" w:hanging="864"/>
              <w:rPr>
                <w:rFonts w:eastAsia="Times New Roman" w:cs="Times New Roman"/>
                <w:i w:val="0"/>
                <w:iCs w:val="0"/>
                <w:color w:val="auto"/>
                <w:sz w:val="20"/>
                <w:szCs w:val="20"/>
              </w:rPr>
            </w:pPr>
            <w:r>
              <w:rPr>
                <w:rFonts w:eastAsia="Times New Roman" w:cs="Times New Roman"/>
                <w:i w:val="0"/>
                <w:iCs w:val="0"/>
                <w:color w:val="auto"/>
                <w:sz w:val="20"/>
                <w:szCs w:val="20"/>
              </w:rPr>
              <w:t>11.</w:t>
            </w:r>
            <w:r w:rsidR="00D11506">
              <w:rPr>
                <w:rFonts w:eastAsia="Times New Roman" w:cs="Times New Roman"/>
                <w:i w:val="0"/>
                <w:iCs w:val="0"/>
                <w:color w:val="auto"/>
                <w:sz w:val="20"/>
                <w:szCs w:val="20"/>
              </w:rPr>
              <w:t>5</w:t>
            </w:r>
            <w:r>
              <w:rPr>
                <w:rFonts w:eastAsia="Times New Roman" w:cs="Times New Roman"/>
                <w:i w:val="0"/>
                <w:iCs w:val="0"/>
                <w:color w:val="auto"/>
                <w:sz w:val="20"/>
                <w:szCs w:val="20"/>
              </w:rPr>
              <w:t>.5</w:t>
            </w:r>
            <w:r>
              <w:rPr>
                <w:rFonts w:eastAsia="Times New Roman" w:cs="Times New Roman"/>
                <w:i w:val="0"/>
                <w:iCs w:val="0"/>
                <w:color w:val="auto"/>
                <w:sz w:val="20"/>
                <w:szCs w:val="20"/>
                <w:u w:val="single"/>
              </w:rPr>
              <w:t xml:space="preserve"> Sanksjoner</w:t>
            </w:r>
          </w:p>
          <w:p w:rsidRPr="00D44F06" w:rsidR="006D47E7" w:rsidP="00CC42DF" w:rsidRDefault="00CC42DF" w14:paraId="4C9AF0CA" w14:textId="74CDD7D8">
            <w:pPr>
              <w:rPr>
                <w:rFonts w:asciiTheme="majorHAnsi" w:hAnsiTheme="majorHAnsi" w:cstheme="majorHAnsi"/>
              </w:rPr>
            </w:pPr>
            <w:r>
              <w:rPr>
                <w:rFonts w:asciiTheme="majorHAnsi" w:hAnsiTheme="majorHAnsi"/>
                <w:sz w:val="20"/>
                <w:szCs w:val="20"/>
              </w:rPr>
              <w:t xml:space="preserve">Ved brudd på punkt </w:t>
            </w:r>
            <w:r w:rsidR="00D11506">
              <w:rPr>
                <w:rFonts w:asciiTheme="majorHAnsi" w:hAnsiTheme="majorHAnsi"/>
                <w:sz w:val="20"/>
                <w:szCs w:val="20"/>
              </w:rPr>
              <w:t>11.5</w:t>
            </w:r>
            <w:r>
              <w:rPr>
                <w:rFonts w:asciiTheme="majorHAnsi" w:hAnsiTheme="majorHAnsi"/>
                <w:sz w:val="20"/>
                <w:szCs w:val="20"/>
              </w:rPr>
              <w:t xml:space="preserve">.2, </w:t>
            </w:r>
            <w:r w:rsidR="00D11506">
              <w:rPr>
                <w:rFonts w:asciiTheme="majorHAnsi" w:hAnsiTheme="majorHAnsi"/>
                <w:sz w:val="20"/>
                <w:szCs w:val="20"/>
              </w:rPr>
              <w:t>11.5</w:t>
            </w:r>
            <w:r>
              <w:rPr>
                <w:rFonts w:asciiTheme="majorHAnsi" w:hAnsiTheme="majorHAnsi"/>
                <w:sz w:val="20"/>
                <w:szCs w:val="20"/>
              </w:rPr>
              <w:t xml:space="preserve">.3, og </w:t>
            </w:r>
            <w:r w:rsidR="00D11506">
              <w:rPr>
                <w:rFonts w:asciiTheme="majorHAnsi" w:hAnsiTheme="majorHAnsi"/>
                <w:sz w:val="20"/>
                <w:szCs w:val="20"/>
              </w:rPr>
              <w:t>11.5</w:t>
            </w:r>
            <w:r>
              <w:rPr>
                <w:rFonts w:asciiTheme="majorHAnsi" w:hAnsiTheme="majorHAnsi"/>
                <w:sz w:val="20"/>
                <w:szCs w:val="20"/>
              </w:rPr>
              <w:t xml:space="preserve">.4 eller om det foreligger mangler i dokumentasjonen, gjelder Rammeavtalens generelle bestemmelser punkt 16.1. </w:t>
            </w:r>
          </w:p>
        </w:tc>
      </w:tr>
      <w:tr w:rsidRPr="00D44F06" w:rsidR="00D44F06" w:rsidTr="6D49C4E9" w14:paraId="350B8548" w14:textId="77777777">
        <w:trPr>
          <w:trHeight w:val="340"/>
        </w:trPr>
        <w:tc>
          <w:tcPr>
            <w:tcW w:w="1413" w:type="dxa"/>
            <w:tcMar/>
            <w:vAlign w:val="center"/>
          </w:tcPr>
          <w:p w:rsidRPr="00D44F06" w:rsidR="00D44F06" w:rsidP="00D44F06" w:rsidRDefault="00D44F06" w14:paraId="7A60C1AB" w14:textId="77777777">
            <w:pPr>
              <w:rPr>
                <w:rFonts w:asciiTheme="majorHAnsi" w:hAnsiTheme="majorHAnsi" w:cstheme="majorHAnsi"/>
              </w:rPr>
            </w:pPr>
          </w:p>
        </w:tc>
        <w:tc>
          <w:tcPr>
            <w:tcW w:w="7647" w:type="dxa"/>
            <w:tcMar/>
            <w:vAlign w:val="center"/>
          </w:tcPr>
          <w:p w:rsidRPr="00D44F06" w:rsidR="00D44F06" w:rsidP="00D44F06" w:rsidRDefault="00D44F06" w14:paraId="6CF2AE09" w14:textId="77777777">
            <w:pPr>
              <w:rPr>
                <w:rFonts w:asciiTheme="majorHAnsi" w:hAnsiTheme="majorHAnsi" w:cstheme="majorHAnsi"/>
              </w:rPr>
            </w:pPr>
          </w:p>
        </w:tc>
      </w:tr>
      <w:tr w:rsidRPr="00D44F06" w:rsidR="00194F1E" w:rsidTr="6D49C4E9" w14:paraId="01F45F48" w14:textId="77777777">
        <w:trPr>
          <w:trHeight w:val="340"/>
        </w:trPr>
        <w:tc>
          <w:tcPr>
            <w:tcW w:w="1413" w:type="dxa"/>
            <w:tcMar/>
            <w:vAlign w:val="center"/>
          </w:tcPr>
          <w:p w:rsidRPr="00D44F06" w:rsidR="00194F1E" w:rsidP="00D44F06" w:rsidRDefault="00194F1E" w14:paraId="1604F84C" w14:textId="77777777">
            <w:pPr>
              <w:rPr>
                <w:rFonts w:asciiTheme="majorHAnsi" w:hAnsiTheme="majorHAnsi" w:cstheme="majorHAnsi"/>
              </w:rPr>
            </w:pPr>
          </w:p>
        </w:tc>
        <w:tc>
          <w:tcPr>
            <w:tcW w:w="7647" w:type="dxa"/>
            <w:tcMar/>
            <w:vAlign w:val="center"/>
          </w:tcPr>
          <w:p w:rsidRPr="00D44F06" w:rsidR="00194F1E" w:rsidP="00D44F06" w:rsidRDefault="00194F1E" w14:paraId="57B6269E" w14:textId="77777777">
            <w:pPr>
              <w:rPr>
                <w:rFonts w:asciiTheme="majorHAnsi" w:hAnsiTheme="majorHAnsi" w:cstheme="majorHAnsi"/>
              </w:rPr>
            </w:pPr>
          </w:p>
        </w:tc>
      </w:tr>
    </w:tbl>
    <w:p w:rsidRPr="00D44F06" w:rsidR="006D47E7" w:rsidP="006D47E7" w:rsidRDefault="006D47E7" w14:paraId="16F80581" w14:textId="77777777">
      <w:pPr>
        <w:rPr>
          <w:rFonts w:asciiTheme="majorHAnsi" w:hAnsiTheme="majorHAnsi" w:cstheme="majorHAnsi"/>
        </w:rPr>
      </w:pPr>
      <w:r w:rsidRPr="00D44F06">
        <w:rPr>
          <w:rFonts w:asciiTheme="majorHAnsi" w:hAnsiTheme="majorHAnsi" w:cstheme="majorHAnsi"/>
        </w:rPr>
        <w:t xml:space="preserve"> </w:t>
      </w:r>
    </w:p>
    <w:p w:rsidRPr="00D44F06" w:rsidR="006D47E7" w:rsidP="00C60BB7" w:rsidRDefault="006D47E7" w14:paraId="43F7F01F" w14:textId="77777777">
      <w:pPr>
        <w:rPr>
          <w:rFonts w:asciiTheme="majorHAnsi" w:hAnsiTheme="majorHAnsi" w:cstheme="majorHAnsi"/>
        </w:rPr>
      </w:pPr>
    </w:p>
    <w:sectPr w:rsidRPr="00D44F06" w:rsidR="006D47E7" w:rsidSect="00971D76">
      <w:headerReference w:type="even" r:id="rId17"/>
      <w:headerReference w:type="default" r:id="rId18"/>
      <w:footerReference w:type="even" r:id="rId19"/>
      <w:footerReference w:type="default" r:id="rId20"/>
      <w:headerReference w:type="first" r:id="rId21"/>
      <w:footerReference w:type="first" r:id="rId22"/>
      <w:pgSz w:w="11906" w:h="16838" w:orient="portrait"/>
      <w:pgMar w:top="1701" w:right="1418" w:bottom="1701" w:left="1418" w:header="567" w:footer="850"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9603B" w:rsidP="00F141DA" w:rsidRDefault="00F9603B" w14:paraId="23F9AB2E" w14:textId="77777777">
      <w:pPr>
        <w:spacing w:after="0" w:line="240" w:lineRule="auto"/>
      </w:pPr>
      <w:r>
        <w:separator/>
      </w:r>
    </w:p>
    <w:p w:rsidR="00F9603B" w:rsidRDefault="00F9603B" w14:paraId="3C28C832" w14:textId="77777777"/>
  </w:endnote>
  <w:endnote w:type="continuationSeparator" w:id="0">
    <w:p w:rsidR="00F9603B" w:rsidP="00F141DA" w:rsidRDefault="00F9603B" w14:paraId="0803F2EE" w14:textId="77777777">
      <w:pPr>
        <w:spacing w:after="0" w:line="240" w:lineRule="auto"/>
      </w:pPr>
      <w:r>
        <w:continuationSeparator/>
      </w:r>
    </w:p>
    <w:p w:rsidR="00F9603B" w:rsidRDefault="00F9603B" w14:paraId="1A8B5BB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41DA" w:rsidRDefault="00F141DA" w14:paraId="3A60F83D" w14:textId="266FF0EB">
    <w:pPr>
      <w:pStyle w:val="Bunntekst"/>
    </w:pPr>
  </w:p>
  <w:p w:rsidR="00B02C45" w:rsidRDefault="00B02C45" w14:paraId="352002E5"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350266" w:rsidP="00350266" w:rsidRDefault="00350266" w14:paraId="281BD0A7" w14:textId="77777777">
    <w:pPr>
      <w:pStyle w:val="Bunntekst"/>
    </w:pPr>
    <w:r>
      <w:rPr>
        <w:noProof/>
        <w:lang w:eastAsia="nb-NO"/>
      </w:rPr>
      <mc:AlternateContent>
        <mc:Choice Requires="wps">
          <w:drawing>
            <wp:anchor distT="0" distB="0" distL="114300" distR="114300" simplePos="0" relativeHeight="251671552" behindDoc="1" locked="0" layoutInCell="1" allowOverlap="1" wp14:anchorId="74242505" wp14:editId="29AD2AE0">
              <wp:simplePos x="0" y="0"/>
              <wp:positionH relativeFrom="page">
                <wp:posOffset>899795</wp:posOffset>
              </wp:positionH>
              <wp:positionV relativeFrom="page">
                <wp:posOffset>9951085</wp:posOffset>
              </wp:positionV>
              <wp:extent cx="5759450" cy="0"/>
              <wp:effectExtent l="0" t="0" r="0" b="0"/>
              <wp:wrapNone/>
              <wp:docPr id="9" name="Rett linje 9"/>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243AF16E">
            <v:line id="Rett linje 9" style="position:absolute;z-index:-2516449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black [3213]" strokeweight=".5pt" from="70.85pt,783.55pt" to="524.35pt,783.55pt" w14:anchorId="056E06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">
              <v:stroke joinstyle="miter"/>
              <w10:wrap anchorx="page" anchory="page"/>
            </v:line>
          </w:pict>
        </mc:Fallback>
      </mc:AlternateContent>
    </w:r>
    <w:r>
      <w:fldChar w:fldCharType="begin"/>
    </w:r>
    <w:r>
      <w:instrText xml:space="preserve"> PAGE   \* MERGEFORMAT </w:instrText>
    </w:r>
    <w:r>
      <w:fldChar w:fldCharType="separate"/>
    </w:r>
    <w:r w:rsidR="00C60BB7">
      <w:rPr>
        <w:noProof/>
      </w:rPr>
      <w:t>2</w:t>
    </w:r>
    <w:r>
      <w:fldChar w:fldCharType="end"/>
    </w:r>
    <w:r>
      <w:t xml:space="preserve"> av </w:t>
    </w:r>
    <w:r>
      <w:fldChar w:fldCharType="begin"/>
    </w:r>
    <w:r>
      <w:instrText> NUMPAGES   \* MERGEFORMAT </w:instrText>
    </w:r>
    <w:r>
      <w:fldChar w:fldCharType="separate"/>
    </w:r>
    <w:r w:rsidR="006D47E7">
      <w:rPr>
        <w:noProof/>
      </w:rPr>
      <w:t>1</w:t>
    </w:r>
    <w:r>
      <w:fldChar w:fldCharType="end"/>
    </w:r>
  </w:p>
  <w:p w:rsidR="00B02C45" w:rsidRDefault="00B02C45" w14:paraId="1157C21F"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F141DA" w:rsidP="00EC008C" w:rsidRDefault="00EC008C" w14:paraId="725BADDC" w14:textId="4E0FB7B9">
    <w:pPr>
      <w:pStyle w:val="Bunntekst"/>
      <w:tabs>
        <w:tab w:val="clear" w:pos="9072"/>
        <w:tab w:val="right" w:pos="9070"/>
      </w:tabs>
      <w:jc w:val="left"/>
    </w:pPr>
    <w:r>
      <w:t xml:space="preserve">Versjonsdato </w:t>
    </w:r>
    <w:r w:rsidR="00D11506">
      <w:t>04</w:t>
    </w:r>
    <w:r>
      <w:t>.0</w:t>
    </w:r>
    <w:r w:rsidR="00D11506">
      <w:t>9</w:t>
    </w:r>
    <w:r>
      <w:t>.2024</w:t>
    </w:r>
    <w:r>
      <w:tab/>
    </w:r>
    <w:r>
      <w:tab/>
    </w:r>
    <w:r w:rsidR="00350266">
      <w:rPr>
        <w:noProof/>
        <w:lang w:eastAsia="nb-NO"/>
      </w:rPr>
      <mc:AlternateContent>
        <mc:Choice Requires="wps">
          <w:drawing>
            <wp:anchor distT="0" distB="0" distL="114300" distR="114300" simplePos="0" relativeHeight="251669504" behindDoc="1" locked="0" layoutInCell="1" allowOverlap="1" wp14:anchorId="5361EE0E" wp14:editId="6EF68279">
              <wp:simplePos x="0" y="0"/>
              <wp:positionH relativeFrom="page">
                <wp:posOffset>899795</wp:posOffset>
              </wp:positionH>
              <wp:positionV relativeFrom="page">
                <wp:posOffset>9951085</wp:posOffset>
              </wp:positionV>
              <wp:extent cx="5759450" cy="0"/>
              <wp:effectExtent l="0" t="0" r="0" b="0"/>
              <wp:wrapNone/>
              <wp:docPr id="8" name="Rett linje 8"/>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5AE19783">
            <v:line id="Rett linje 8" style="position:absolute;z-index:-251646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black [3213]" strokeweight=".5pt" from="70.85pt,783.55pt" to="524.35pt,783.55pt" w14:anchorId="43AED1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">
              <v:stroke joinstyle="miter"/>
              <w10:wrap anchorx="page" anchory="page"/>
            </v:line>
          </w:pict>
        </mc:Fallback>
      </mc:AlternateContent>
    </w:r>
    <w:r w:rsidR="00350266">
      <w:fldChar w:fldCharType="begin"/>
    </w:r>
    <w:r w:rsidR="00350266">
      <w:instrText xml:space="preserve"> PAGE   \* MERGEFORMAT </w:instrText>
    </w:r>
    <w:r w:rsidR="00350266">
      <w:fldChar w:fldCharType="separate"/>
    </w:r>
    <w:r w:rsidR="00CB0592">
      <w:rPr>
        <w:noProof/>
      </w:rPr>
      <w:t>1</w:t>
    </w:r>
    <w:r w:rsidR="00350266">
      <w:fldChar w:fldCharType="end"/>
    </w:r>
    <w:r w:rsidR="00350266">
      <w:t xml:space="preserve"> av </w:t>
    </w:r>
    <w:r>
      <w:fldChar w:fldCharType="begin"/>
    </w:r>
    <w:r>
      <w:instrText> NUMPAGES   \* MERGEFORMAT </w:instrText>
    </w:r>
    <w:r>
      <w:fldChar w:fldCharType="separate"/>
    </w:r>
    <w:r w:rsidR="00CB059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9603B" w:rsidP="00F141DA" w:rsidRDefault="00F9603B" w14:paraId="70F3E3D3" w14:textId="77777777">
      <w:pPr>
        <w:spacing w:after="0" w:line="240" w:lineRule="auto"/>
      </w:pPr>
      <w:r>
        <w:separator/>
      </w:r>
    </w:p>
    <w:p w:rsidR="00F9603B" w:rsidRDefault="00F9603B" w14:paraId="57780A17" w14:textId="77777777"/>
  </w:footnote>
  <w:footnote w:type="continuationSeparator" w:id="0">
    <w:p w:rsidR="00F9603B" w:rsidP="00F141DA" w:rsidRDefault="00F9603B" w14:paraId="1F7C33BC" w14:textId="77777777">
      <w:pPr>
        <w:spacing w:after="0" w:line="240" w:lineRule="auto"/>
      </w:pPr>
      <w:r>
        <w:continuationSeparator/>
      </w:r>
    </w:p>
    <w:p w:rsidR="00F9603B" w:rsidRDefault="00F9603B" w14:paraId="7AD964D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41DA" w:rsidRDefault="00F141DA" w14:paraId="598BA950" w14:textId="48BDCDFF">
    <w:pPr>
      <w:pStyle w:val="Topptekst"/>
    </w:pPr>
  </w:p>
  <w:p w:rsidR="00B02C45" w:rsidRDefault="00B02C45" w14:paraId="5DEB3F46"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350266" w:rsidR="00F141DA" w:rsidP="00350266" w:rsidRDefault="00350266" w14:paraId="24E738C6" w14:textId="77777777">
    <w:pPr>
      <w:pStyle w:val="Topptekst"/>
    </w:pPr>
    <w:r>
      <w:rPr>
        <w:noProof/>
        <w:lang w:eastAsia="nb-NO"/>
      </w:rPr>
      <mc:AlternateContent>
        <mc:Choice Requires="wps">
          <w:drawing>
            <wp:anchor distT="0" distB="0" distL="114300" distR="114300" simplePos="0" relativeHeight="251674624" behindDoc="1" locked="0" layoutInCell="1" allowOverlap="1" wp14:anchorId="4B4573B8" wp14:editId="4275393A">
              <wp:simplePos x="0" y="0"/>
              <wp:positionH relativeFrom="margin">
                <wp:align>right</wp:align>
              </wp:positionH>
              <wp:positionV relativeFrom="page">
                <wp:posOffset>565150</wp:posOffset>
              </wp:positionV>
              <wp:extent cx="4176000" cy="0"/>
              <wp:effectExtent l="0" t="0" r="0" b="0"/>
              <wp:wrapNone/>
              <wp:docPr id="11" name="Rett linje 11"/>
              <wp:cNvGraphicFramePr/>
              <a:graphic xmlns:a="http://schemas.openxmlformats.org/drawingml/2006/main">
                <a:graphicData uri="http://schemas.microsoft.com/office/word/2010/wordprocessingShape">
                  <wps:wsp>
                    <wps:cNvCnPr/>
                    <wps:spPr>
                      <a:xfrm>
                        <a:off x="0" y="0"/>
                        <a:ext cx="417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6EF1EE4E">
            <v:line id="Rett linje 11" style="position:absolute;z-index:-251641856;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o:spid="_x0000_s1026" strokecolor="black [3213]" strokeweight=".5pt" from="277.6pt,44.5pt" to="606.4pt,44.5pt" w14:anchorId="6796BB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">
              <v:stroke joinstyle="miter"/>
              <w10:wrap anchorx="margin" anchory="page"/>
            </v:line>
          </w:pict>
        </mc:Fallback>
      </mc:AlternateContent>
    </w:r>
    <w:r>
      <w:rPr>
        <w:noProof/>
        <w:lang w:eastAsia="nb-NO"/>
      </w:rPr>
      <w:drawing>
        <wp:anchor distT="0" distB="0" distL="114300" distR="114300" simplePos="0" relativeHeight="251672576" behindDoc="1" locked="0" layoutInCell="1" allowOverlap="1" wp14:anchorId="262148AE" wp14:editId="65EDF02F">
          <wp:simplePos x="0" y="0"/>
          <wp:positionH relativeFrom="page">
            <wp:posOffset>0</wp:posOffset>
          </wp:positionH>
          <wp:positionV relativeFrom="page">
            <wp:posOffset>0</wp:posOffset>
          </wp:positionV>
          <wp:extent cx="1802765" cy="661035"/>
          <wp:effectExtent l="0" t="0" r="6985" b="5715"/>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_topp2.png"/>
                  <pic:cNvPicPr/>
                </pic:nvPicPr>
                <pic:blipFill>
                  <a:blip r:embed="rId1">
                    <a:extLst>
                      <a:ext uri="{28A0092B-C50C-407E-A947-70E740481C1C}">
                        <a14:useLocalDpi xmlns:a14="http://schemas.microsoft.com/office/drawing/2010/main" val="0"/>
                      </a:ext>
                    </a:extLst>
                  </a:blip>
                  <a:stretch>
                    <a:fillRect/>
                  </a:stretch>
                </pic:blipFill>
                <pic:spPr>
                  <a:xfrm>
                    <a:off x="0" y="0"/>
                    <a:ext cx="1802765" cy="661035"/>
                  </a:xfrm>
                  <a:prstGeom prst="rect">
                    <a:avLst/>
                  </a:prstGeom>
                </pic:spPr>
              </pic:pic>
            </a:graphicData>
          </a:graphic>
        </wp:anchor>
      </w:drawing>
    </w:r>
  </w:p>
  <w:p w:rsidR="00B02C45" w:rsidRDefault="00B02C45" w14:paraId="7CE6E8CE"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F141DA" w:rsidP="009F5392" w:rsidRDefault="009F5392" w14:paraId="49F9C5E5" w14:textId="59B65E57">
    <w:pPr>
      <w:pStyle w:val="Topptekst"/>
      <w:jc w:val="left"/>
    </w:pPr>
    <w:r>
      <w:rPr>
        <w:noProof/>
      </w:rPr>
      <w:drawing>
        <wp:inline distT="0" distB="0" distL="0" distR="0" wp14:anchorId="444E15E2" wp14:editId="02AA569F">
          <wp:extent cx="1953658" cy="559543"/>
          <wp:effectExtent l="0" t="0" r="8890" b="0"/>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p>
  <w:p w:rsidR="009F5392" w:rsidP="009F5392" w:rsidRDefault="009F5392" w14:paraId="218D2E89" w14:textId="77777777">
    <w:pPr>
      <w:pStyle w:val="Topptekst"/>
      <w:jc w:val="left"/>
    </w:pPr>
  </w:p>
  <w:p w:rsidR="00B02C45" w:rsidP="009F5392" w:rsidRDefault="00B02C45" w14:paraId="096464AE" w14:textId="77777777">
    <w:pPr>
      <w:pBdr>
        <w:bottom w:val="single" w:color="auto" w:sz="4" w:space="1"/>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33437"/>
    <w:multiLevelType w:val="hybridMultilevel"/>
    <w:tmpl w:val="ADE6D738"/>
    <w:lvl w:ilvl="0" w:tplc="40C8C126">
      <w:start w:val="2"/>
      <w:numFmt w:val="bullet"/>
      <w:lvlText w:val="-"/>
      <w:lvlJc w:val="left"/>
      <w:pPr>
        <w:ind w:left="360" w:hanging="360"/>
      </w:pPr>
      <w:rPr>
        <w:rFonts w:hint="default" w:ascii="Garamond" w:hAnsi="Garamond" w:eastAsia="Times New Roman" w:cs="Times New Roman"/>
      </w:rPr>
    </w:lvl>
    <w:lvl w:ilvl="1" w:tplc="FFFFFFFF">
      <w:start w:val="1"/>
      <w:numFmt w:val="bullet"/>
      <w:lvlText w:val="o"/>
      <w:lvlJc w:val="left"/>
      <w:pPr>
        <w:ind w:left="1080" w:hanging="360"/>
      </w:pPr>
      <w:rPr>
        <w:rFonts w:hint="default" w:ascii="Courier New" w:hAnsi="Courier New" w:cs="Courier New"/>
      </w:rPr>
    </w:lvl>
    <w:lvl w:ilvl="2" w:tplc="FFFFFFFF">
      <w:start w:val="1"/>
      <w:numFmt w:val="bullet"/>
      <w:lvlText w:val=""/>
      <w:lvlJc w:val="left"/>
      <w:pPr>
        <w:ind w:left="1800" w:hanging="360"/>
      </w:pPr>
      <w:rPr>
        <w:rFonts w:hint="default" w:ascii="Wingdings" w:hAnsi="Wingdings"/>
      </w:rPr>
    </w:lvl>
    <w:lvl w:ilvl="3" w:tplc="FFFFFFFF">
      <w:start w:val="1"/>
      <w:numFmt w:val="bullet"/>
      <w:lvlText w:val=""/>
      <w:lvlJc w:val="left"/>
      <w:pPr>
        <w:ind w:left="2520" w:hanging="360"/>
      </w:pPr>
      <w:rPr>
        <w:rFonts w:hint="default" w:ascii="Symbol" w:hAnsi="Symbol"/>
      </w:rPr>
    </w:lvl>
    <w:lvl w:ilvl="4" w:tplc="FFFFFFFF">
      <w:start w:val="1"/>
      <w:numFmt w:val="bullet"/>
      <w:lvlText w:val="o"/>
      <w:lvlJc w:val="left"/>
      <w:pPr>
        <w:ind w:left="3240" w:hanging="360"/>
      </w:pPr>
      <w:rPr>
        <w:rFonts w:hint="default" w:ascii="Courier New" w:hAnsi="Courier New" w:cs="Courier New"/>
      </w:rPr>
    </w:lvl>
    <w:lvl w:ilvl="5" w:tplc="FFFFFFFF">
      <w:start w:val="1"/>
      <w:numFmt w:val="bullet"/>
      <w:lvlText w:val=""/>
      <w:lvlJc w:val="left"/>
      <w:pPr>
        <w:ind w:left="3960" w:hanging="360"/>
      </w:pPr>
      <w:rPr>
        <w:rFonts w:hint="default" w:ascii="Wingdings" w:hAnsi="Wingdings"/>
      </w:rPr>
    </w:lvl>
    <w:lvl w:ilvl="6" w:tplc="FFFFFFFF">
      <w:start w:val="1"/>
      <w:numFmt w:val="bullet"/>
      <w:lvlText w:val=""/>
      <w:lvlJc w:val="left"/>
      <w:pPr>
        <w:ind w:left="4680" w:hanging="360"/>
      </w:pPr>
      <w:rPr>
        <w:rFonts w:hint="default" w:ascii="Symbol" w:hAnsi="Symbol"/>
      </w:rPr>
    </w:lvl>
    <w:lvl w:ilvl="7" w:tplc="FFFFFFFF">
      <w:start w:val="1"/>
      <w:numFmt w:val="bullet"/>
      <w:lvlText w:val="o"/>
      <w:lvlJc w:val="left"/>
      <w:pPr>
        <w:ind w:left="5400" w:hanging="360"/>
      </w:pPr>
      <w:rPr>
        <w:rFonts w:hint="default" w:ascii="Courier New" w:hAnsi="Courier New" w:cs="Courier New"/>
      </w:rPr>
    </w:lvl>
    <w:lvl w:ilvl="8" w:tplc="FFFFFFFF">
      <w:start w:val="1"/>
      <w:numFmt w:val="bullet"/>
      <w:lvlText w:val=""/>
      <w:lvlJc w:val="left"/>
      <w:pPr>
        <w:ind w:left="6120" w:hanging="360"/>
      </w:pPr>
      <w:rPr>
        <w:rFonts w:hint="default" w:ascii="Wingdings" w:hAnsi="Wingdings"/>
      </w:rPr>
    </w:lvl>
  </w:abstractNum>
  <w:abstractNum w:abstractNumId="1" w15:restartNumberingAfterBreak="0">
    <w:nsid w:val="72155760"/>
    <w:multiLevelType w:val="multilevel"/>
    <w:tmpl w:val="AF06034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76E7545E"/>
    <w:multiLevelType w:val="hybridMultilevel"/>
    <w:tmpl w:val="B7A2714A"/>
    <w:lvl w:ilvl="0" w:tplc="C8DE9F8E">
      <w:start w:val="11"/>
      <w:numFmt w:val="bullet"/>
      <w:lvlText w:val="-"/>
      <w:lvlJc w:val="left"/>
      <w:pPr>
        <w:ind w:left="360" w:hanging="360"/>
      </w:pPr>
      <w:rPr>
        <w:rFonts w:hint="default" w:ascii="Aptos Display" w:hAnsi="Aptos Display" w:eastAsia="Times New Roman" w:cs="Times New Roman"/>
      </w:rPr>
    </w:lvl>
    <w:lvl w:ilvl="1" w:tplc="04140003">
      <w:start w:val="1"/>
      <w:numFmt w:val="bullet"/>
      <w:lvlText w:val="o"/>
      <w:lvlJc w:val="left"/>
      <w:pPr>
        <w:ind w:left="1080" w:hanging="360"/>
      </w:pPr>
      <w:rPr>
        <w:rFonts w:hint="default" w:ascii="Courier New" w:hAnsi="Courier New" w:cs="Courier New"/>
      </w:rPr>
    </w:lvl>
    <w:lvl w:ilvl="2" w:tplc="04140005">
      <w:start w:val="1"/>
      <w:numFmt w:val="bullet"/>
      <w:lvlText w:val=""/>
      <w:lvlJc w:val="left"/>
      <w:pPr>
        <w:ind w:left="1800" w:hanging="360"/>
      </w:pPr>
      <w:rPr>
        <w:rFonts w:hint="default" w:ascii="Wingdings" w:hAnsi="Wingdings"/>
      </w:rPr>
    </w:lvl>
    <w:lvl w:ilvl="3" w:tplc="04140001">
      <w:start w:val="1"/>
      <w:numFmt w:val="bullet"/>
      <w:lvlText w:val=""/>
      <w:lvlJc w:val="left"/>
      <w:pPr>
        <w:ind w:left="2520" w:hanging="360"/>
      </w:pPr>
      <w:rPr>
        <w:rFonts w:hint="default" w:ascii="Symbol" w:hAnsi="Symbol"/>
      </w:rPr>
    </w:lvl>
    <w:lvl w:ilvl="4" w:tplc="04140003">
      <w:start w:val="1"/>
      <w:numFmt w:val="bullet"/>
      <w:lvlText w:val="o"/>
      <w:lvlJc w:val="left"/>
      <w:pPr>
        <w:ind w:left="3240" w:hanging="360"/>
      </w:pPr>
      <w:rPr>
        <w:rFonts w:hint="default" w:ascii="Courier New" w:hAnsi="Courier New" w:cs="Courier New"/>
      </w:rPr>
    </w:lvl>
    <w:lvl w:ilvl="5" w:tplc="04140005">
      <w:start w:val="1"/>
      <w:numFmt w:val="bullet"/>
      <w:lvlText w:val=""/>
      <w:lvlJc w:val="left"/>
      <w:pPr>
        <w:ind w:left="3960" w:hanging="360"/>
      </w:pPr>
      <w:rPr>
        <w:rFonts w:hint="default" w:ascii="Wingdings" w:hAnsi="Wingdings"/>
      </w:rPr>
    </w:lvl>
    <w:lvl w:ilvl="6" w:tplc="04140001">
      <w:start w:val="1"/>
      <w:numFmt w:val="bullet"/>
      <w:lvlText w:val=""/>
      <w:lvlJc w:val="left"/>
      <w:pPr>
        <w:ind w:left="4680" w:hanging="360"/>
      </w:pPr>
      <w:rPr>
        <w:rFonts w:hint="default" w:ascii="Symbol" w:hAnsi="Symbol"/>
      </w:rPr>
    </w:lvl>
    <w:lvl w:ilvl="7" w:tplc="04140003">
      <w:start w:val="1"/>
      <w:numFmt w:val="bullet"/>
      <w:lvlText w:val="o"/>
      <w:lvlJc w:val="left"/>
      <w:pPr>
        <w:ind w:left="5400" w:hanging="360"/>
      </w:pPr>
      <w:rPr>
        <w:rFonts w:hint="default" w:ascii="Courier New" w:hAnsi="Courier New" w:cs="Courier New"/>
      </w:rPr>
    </w:lvl>
    <w:lvl w:ilvl="8" w:tplc="04140005">
      <w:start w:val="1"/>
      <w:numFmt w:val="bullet"/>
      <w:lvlText w:val=""/>
      <w:lvlJc w:val="left"/>
      <w:pPr>
        <w:ind w:left="6120" w:hanging="360"/>
      </w:pPr>
      <w:rPr>
        <w:rFonts w:hint="default" w:ascii="Wingdings" w:hAnsi="Wingdings"/>
      </w:rPr>
    </w:lvl>
  </w:abstractNum>
  <w:num w:numId="1" w16cid:durableId="818813655">
    <w:abstractNumId w:val="1"/>
  </w:num>
  <w:num w:numId="2" w16cid:durableId="442118351">
    <w:abstractNumId w:val="2"/>
  </w:num>
  <w:num w:numId="3" w16cid:durableId="510143823">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proofState w:spelling="clean" w:grammar="dirty"/>
  <w:linkStyles/>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7E7"/>
    <w:rsid w:val="00194F1E"/>
    <w:rsid w:val="002C3B45"/>
    <w:rsid w:val="002F7A2C"/>
    <w:rsid w:val="00305BCE"/>
    <w:rsid w:val="00350266"/>
    <w:rsid w:val="003B0D58"/>
    <w:rsid w:val="004008EB"/>
    <w:rsid w:val="004415F3"/>
    <w:rsid w:val="006D47E7"/>
    <w:rsid w:val="009552F1"/>
    <w:rsid w:val="00971D76"/>
    <w:rsid w:val="009F5392"/>
    <w:rsid w:val="00AB17F4"/>
    <w:rsid w:val="00AD77B5"/>
    <w:rsid w:val="00B02C45"/>
    <w:rsid w:val="00BD7222"/>
    <w:rsid w:val="00BF6088"/>
    <w:rsid w:val="00C60BB7"/>
    <w:rsid w:val="00CA31C3"/>
    <w:rsid w:val="00CB0592"/>
    <w:rsid w:val="00CC42DF"/>
    <w:rsid w:val="00CD2126"/>
    <w:rsid w:val="00D11506"/>
    <w:rsid w:val="00D44F06"/>
    <w:rsid w:val="00EC008C"/>
    <w:rsid w:val="00F141DA"/>
    <w:rsid w:val="00F33C68"/>
    <w:rsid w:val="00F44678"/>
    <w:rsid w:val="00F9603B"/>
    <w:rsid w:val="3B02C6CD"/>
    <w:rsid w:val="4093A2F5"/>
    <w:rsid w:val="5028D698"/>
    <w:rsid w:val="6D49C4E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1F4C0"/>
  <w15:chartTrackingRefBased/>
  <w15:docId w15:val="{C6825A48-E24B-4241-A903-84884DF007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qFormat="1"/>
    <w:lsdException w:name="heading 4" w:uiPriority="9" w:semiHidden="1" w:qFormat="1"/>
    <w:lsdException w:name="heading 5" w:uiPriority="9" w:semiHidden="1" w:qFormat="1"/>
    <w:lsdException w:name="heading 6" w:uiPriority="9" w:semiHidden="1" w:qFormat="1"/>
    <w:lsdException w:name="heading 7" w:uiPriority="9" w:semiHidden="1" w:qFormat="1"/>
    <w:lsdException w:name="heading 8" w:uiPriority="9" w:semiHidden="1" w:qFormat="1"/>
    <w:lsdException w:name="heading 9" w:uiPriority="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semiHidden="1"/>
    <w:lsdException w:name="toc 2" w:uiPriority="39" w:semiHidden="1"/>
    <w:lsdException w:name="toc 3" w:uiPriority="39" w:semiHidden="1"/>
    <w:lsdException w:name="toc 4" w:uiPriority="39" w:semiHidden="1"/>
    <w:lsdException w:name="toc 5" w:uiPriority="39" w:semiHidden="1"/>
    <w:lsdException w:name="toc 6" w:uiPriority="39" w:semiHidden="1"/>
    <w:lsdException w:name="toc 7" w:uiPriority="39" w:semiHidden="1"/>
    <w:lsdException w:name="toc 8" w:uiPriority="39" w:semiHidden="1"/>
    <w:lsdException w:name="toc 9" w:uiPriority="39" w:semiHidden="1"/>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35"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semiHidden="1" w:qFormat="1"/>
    <w:lsdException w:name="Closing" w:semiHidden="1"/>
    <w:lsdException w:name="Signature" w:semiHidden="1"/>
    <w:lsdException w:name="Default Paragraph Font" w:uiPriority="1" w:semiHidden="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lsdException w:name="TOC Heading" w:uiPriority="39" w:semiHidden="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77B5"/>
    <w:rPr>
      <w:kern w:val="2"/>
      <w14:ligatures w14:val="standardContextual"/>
    </w:rPr>
  </w:style>
  <w:style w:type="paragraph" w:styleId="Overskrift1">
    <w:name w:val="heading 1"/>
    <w:basedOn w:val="Normal"/>
    <w:next w:val="Normal"/>
    <w:link w:val="Overskrift1Tegn"/>
    <w:uiPriority w:val="9"/>
    <w:qFormat/>
    <w:rsid w:val="009F5392"/>
    <w:pPr>
      <w:keepNext/>
      <w:keepLines/>
      <w:numPr>
        <w:numId w:val="1"/>
      </w:numPr>
      <w:spacing w:before="360" w:after="120" w:line="240" w:lineRule="auto"/>
      <w:outlineLvl w:val="0"/>
    </w:pPr>
    <w:rPr>
      <w:rFonts w:asciiTheme="majorHAnsi" w:hAnsiTheme="majorHAnsi" w:eastAsiaTheme="majorEastAsia" w:cstheme="majorBidi"/>
      <w:b/>
      <w:sz w:val="28"/>
      <w:szCs w:val="32"/>
    </w:rPr>
  </w:style>
  <w:style w:type="paragraph" w:styleId="Overskrift2">
    <w:name w:val="heading 2"/>
    <w:basedOn w:val="Normal"/>
    <w:next w:val="Normal"/>
    <w:link w:val="Overskrift2Tegn"/>
    <w:uiPriority w:val="9"/>
    <w:qFormat/>
    <w:rsid w:val="009F5392"/>
    <w:pPr>
      <w:keepNext/>
      <w:keepLines/>
      <w:numPr>
        <w:ilvl w:val="1"/>
        <w:numId w:val="1"/>
      </w:numPr>
      <w:spacing w:before="240" w:after="60" w:line="240" w:lineRule="auto"/>
      <w:outlineLvl w:val="1"/>
    </w:pPr>
    <w:rPr>
      <w:rFonts w:asciiTheme="majorHAnsi" w:hAnsiTheme="majorHAnsi" w:eastAsiaTheme="majorEastAsia" w:cstheme="majorBidi"/>
      <w:color w:val="C1002B" w:themeColor="accent1"/>
      <w:szCs w:val="26"/>
    </w:rPr>
  </w:style>
  <w:style w:type="paragraph" w:styleId="Overskrift3">
    <w:name w:val="heading 3"/>
    <w:basedOn w:val="Normal"/>
    <w:next w:val="Normal"/>
    <w:link w:val="Overskrift3Tegn"/>
    <w:uiPriority w:val="9"/>
    <w:qFormat/>
    <w:rsid w:val="009F5392"/>
    <w:pPr>
      <w:keepNext/>
      <w:keepLines/>
      <w:numPr>
        <w:ilvl w:val="2"/>
        <w:numId w:val="1"/>
      </w:numPr>
      <w:spacing w:before="240" w:after="0"/>
      <w:outlineLvl w:val="2"/>
    </w:pPr>
    <w:rPr>
      <w:rFonts w:asciiTheme="majorHAnsi" w:hAnsiTheme="majorHAnsi" w:eastAsiaTheme="majorEastAsia" w:cstheme="majorBidi"/>
      <w:b/>
      <w:sz w:val="18"/>
      <w:szCs w:val="24"/>
    </w:rPr>
  </w:style>
  <w:style w:type="paragraph" w:styleId="Overskrift4">
    <w:name w:val="heading 4"/>
    <w:basedOn w:val="Normal"/>
    <w:next w:val="Normal"/>
    <w:link w:val="Overskrift4Tegn"/>
    <w:uiPriority w:val="9"/>
    <w:semiHidden/>
    <w:qFormat/>
    <w:rsid w:val="009F5392"/>
    <w:pPr>
      <w:keepNext/>
      <w:keepLines/>
      <w:numPr>
        <w:ilvl w:val="3"/>
        <w:numId w:val="1"/>
      </w:numPr>
      <w:spacing w:before="40" w:after="0"/>
      <w:outlineLvl w:val="3"/>
    </w:pPr>
    <w:rPr>
      <w:rFonts w:asciiTheme="majorHAnsi" w:hAnsiTheme="majorHAnsi" w:eastAsiaTheme="majorEastAsia" w:cstheme="majorBidi"/>
      <w:i/>
      <w:iCs/>
      <w:color w:val="90001F" w:themeColor="accent1" w:themeShade="BF"/>
    </w:rPr>
  </w:style>
  <w:style w:type="paragraph" w:styleId="Overskrift5">
    <w:name w:val="heading 5"/>
    <w:basedOn w:val="Normal"/>
    <w:next w:val="Normal"/>
    <w:link w:val="Overskrift5Tegn"/>
    <w:uiPriority w:val="9"/>
    <w:semiHidden/>
    <w:qFormat/>
    <w:rsid w:val="009F5392"/>
    <w:pPr>
      <w:keepNext/>
      <w:keepLines/>
      <w:numPr>
        <w:ilvl w:val="4"/>
        <w:numId w:val="1"/>
      </w:numPr>
      <w:spacing w:before="40" w:after="0"/>
      <w:outlineLvl w:val="4"/>
    </w:pPr>
    <w:rPr>
      <w:rFonts w:asciiTheme="majorHAnsi" w:hAnsiTheme="majorHAnsi" w:eastAsiaTheme="majorEastAsia" w:cstheme="majorBidi"/>
      <w:color w:val="90001F" w:themeColor="accent1" w:themeShade="BF"/>
    </w:rPr>
  </w:style>
  <w:style w:type="paragraph" w:styleId="Overskrift6">
    <w:name w:val="heading 6"/>
    <w:basedOn w:val="Normal"/>
    <w:next w:val="Normal"/>
    <w:link w:val="Overskrift6Tegn"/>
    <w:uiPriority w:val="9"/>
    <w:semiHidden/>
    <w:qFormat/>
    <w:rsid w:val="009F5392"/>
    <w:pPr>
      <w:keepNext/>
      <w:keepLines/>
      <w:numPr>
        <w:ilvl w:val="5"/>
        <w:numId w:val="1"/>
      </w:numPr>
      <w:spacing w:before="40" w:after="0"/>
      <w:outlineLvl w:val="5"/>
    </w:pPr>
    <w:rPr>
      <w:rFonts w:asciiTheme="majorHAnsi" w:hAnsiTheme="majorHAnsi" w:eastAsiaTheme="majorEastAsia" w:cstheme="majorBidi"/>
      <w:color w:val="600015" w:themeColor="accent1" w:themeShade="7F"/>
    </w:rPr>
  </w:style>
  <w:style w:type="paragraph" w:styleId="Overskrift7">
    <w:name w:val="heading 7"/>
    <w:basedOn w:val="Normal"/>
    <w:next w:val="Normal"/>
    <w:link w:val="Overskrift7Tegn"/>
    <w:uiPriority w:val="9"/>
    <w:semiHidden/>
    <w:qFormat/>
    <w:rsid w:val="009F5392"/>
    <w:pPr>
      <w:keepNext/>
      <w:keepLines/>
      <w:numPr>
        <w:ilvl w:val="6"/>
        <w:numId w:val="1"/>
      </w:numPr>
      <w:spacing w:before="40" w:after="0"/>
      <w:outlineLvl w:val="6"/>
    </w:pPr>
    <w:rPr>
      <w:rFonts w:asciiTheme="majorHAnsi" w:hAnsiTheme="majorHAnsi" w:eastAsiaTheme="majorEastAsia" w:cstheme="majorBidi"/>
      <w:i/>
      <w:iCs/>
      <w:color w:val="600015" w:themeColor="accent1" w:themeShade="7F"/>
    </w:rPr>
  </w:style>
  <w:style w:type="paragraph" w:styleId="Overskrift8">
    <w:name w:val="heading 8"/>
    <w:basedOn w:val="Normal"/>
    <w:next w:val="Normal"/>
    <w:link w:val="Overskrift8Tegn"/>
    <w:uiPriority w:val="9"/>
    <w:semiHidden/>
    <w:qFormat/>
    <w:rsid w:val="009F5392"/>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qFormat/>
    <w:rsid w:val="009F5392"/>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rsid w:val="00AD77B5"/>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rsid w:val="00AD77B5"/>
  </w:style>
  <w:style w:type="paragraph" w:styleId="Topptekst">
    <w:name w:val="header"/>
    <w:basedOn w:val="Normal"/>
    <w:link w:val="TopptekstTegn"/>
    <w:uiPriority w:val="99"/>
    <w:semiHidden/>
    <w:rsid w:val="009F5392"/>
    <w:pPr>
      <w:tabs>
        <w:tab w:val="center" w:pos="4536"/>
        <w:tab w:val="right" w:pos="9072"/>
      </w:tabs>
      <w:spacing w:after="0" w:line="240" w:lineRule="auto"/>
      <w:jc w:val="right"/>
    </w:pPr>
    <w:rPr>
      <w:rFonts w:asciiTheme="majorHAnsi" w:hAnsiTheme="majorHAnsi"/>
      <w:sz w:val="13"/>
    </w:rPr>
  </w:style>
  <w:style w:type="character" w:styleId="TopptekstTegn" w:customStyle="1">
    <w:name w:val="Topptekst Tegn"/>
    <w:basedOn w:val="Standardskriftforavsnitt"/>
    <w:link w:val="Topptekst"/>
    <w:uiPriority w:val="99"/>
    <w:semiHidden/>
    <w:rsid w:val="009F5392"/>
    <w:rPr>
      <w:rFonts w:asciiTheme="majorHAnsi" w:hAnsiTheme="majorHAnsi"/>
      <w:sz w:val="13"/>
    </w:rPr>
  </w:style>
  <w:style w:type="paragraph" w:styleId="Bunntekst">
    <w:name w:val="footer"/>
    <w:basedOn w:val="Normal"/>
    <w:link w:val="BunntekstTegn"/>
    <w:uiPriority w:val="99"/>
    <w:rsid w:val="009F5392"/>
    <w:pPr>
      <w:tabs>
        <w:tab w:val="center" w:pos="4536"/>
        <w:tab w:val="right" w:pos="9072"/>
      </w:tabs>
      <w:spacing w:after="0" w:line="240" w:lineRule="auto"/>
      <w:jc w:val="right"/>
    </w:pPr>
    <w:rPr>
      <w:rFonts w:asciiTheme="majorHAnsi" w:hAnsiTheme="majorHAnsi"/>
      <w:color w:val="868688" w:themeColor="text2"/>
      <w:sz w:val="13"/>
    </w:rPr>
  </w:style>
  <w:style w:type="character" w:styleId="BunntekstTegn" w:customStyle="1">
    <w:name w:val="Bunntekst Tegn"/>
    <w:basedOn w:val="Standardskriftforavsnitt"/>
    <w:link w:val="Bunntekst"/>
    <w:uiPriority w:val="99"/>
    <w:rsid w:val="009F5392"/>
    <w:rPr>
      <w:rFonts w:asciiTheme="majorHAnsi" w:hAnsiTheme="majorHAnsi"/>
      <w:color w:val="868688" w:themeColor="text2"/>
      <w:sz w:val="13"/>
    </w:rPr>
  </w:style>
  <w:style w:type="character" w:styleId="Overskrift1Tegn" w:customStyle="1">
    <w:name w:val="Overskrift 1 Tegn"/>
    <w:basedOn w:val="Standardskriftforavsnitt"/>
    <w:link w:val="Overskrift1"/>
    <w:uiPriority w:val="9"/>
    <w:rsid w:val="009F5392"/>
    <w:rPr>
      <w:rFonts w:asciiTheme="majorHAnsi" w:hAnsiTheme="majorHAnsi" w:eastAsiaTheme="majorEastAsia" w:cstheme="majorBidi"/>
      <w:b/>
      <w:sz w:val="28"/>
      <w:szCs w:val="32"/>
    </w:rPr>
  </w:style>
  <w:style w:type="character" w:styleId="Overskrift2Tegn" w:customStyle="1">
    <w:name w:val="Overskrift 2 Tegn"/>
    <w:basedOn w:val="Standardskriftforavsnitt"/>
    <w:link w:val="Overskrift2"/>
    <w:uiPriority w:val="9"/>
    <w:rsid w:val="009F5392"/>
    <w:rPr>
      <w:rFonts w:asciiTheme="majorHAnsi" w:hAnsiTheme="majorHAnsi" w:eastAsiaTheme="majorEastAsia" w:cstheme="majorBidi"/>
      <w:color w:val="C1002B" w:themeColor="accent1"/>
      <w:sz w:val="20"/>
      <w:szCs w:val="26"/>
    </w:rPr>
  </w:style>
  <w:style w:type="character" w:styleId="Overskrift3Tegn" w:customStyle="1">
    <w:name w:val="Overskrift 3 Tegn"/>
    <w:basedOn w:val="Standardskriftforavsnitt"/>
    <w:link w:val="Overskrift3"/>
    <w:uiPriority w:val="9"/>
    <w:rsid w:val="009F5392"/>
    <w:rPr>
      <w:rFonts w:asciiTheme="majorHAnsi" w:hAnsiTheme="majorHAnsi" w:eastAsiaTheme="majorEastAsia" w:cstheme="majorBidi"/>
      <w:b/>
      <w:sz w:val="18"/>
      <w:szCs w:val="24"/>
    </w:rPr>
  </w:style>
  <w:style w:type="character" w:styleId="Overskrift4Tegn" w:customStyle="1">
    <w:name w:val="Overskrift 4 Tegn"/>
    <w:basedOn w:val="Standardskriftforavsnitt"/>
    <w:link w:val="Overskrift4"/>
    <w:uiPriority w:val="9"/>
    <w:semiHidden/>
    <w:rsid w:val="009F5392"/>
    <w:rPr>
      <w:rFonts w:asciiTheme="majorHAnsi" w:hAnsiTheme="majorHAnsi" w:eastAsiaTheme="majorEastAsia" w:cstheme="majorBidi"/>
      <w:i/>
      <w:iCs/>
      <w:color w:val="90001F" w:themeColor="accent1" w:themeShade="BF"/>
      <w:sz w:val="20"/>
    </w:rPr>
  </w:style>
  <w:style w:type="character" w:styleId="Overskrift5Tegn" w:customStyle="1">
    <w:name w:val="Overskrift 5 Tegn"/>
    <w:basedOn w:val="Standardskriftforavsnitt"/>
    <w:link w:val="Overskrift5"/>
    <w:uiPriority w:val="9"/>
    <w:semiHidden/>
    <w:rsid w:val="009F5392"/>
    <w:rPr>
      <w:rFonts w:asciiTheme="majorHAnsi" w:hAnsiTheme="majorHAnsi" w:eastAsiaTheme="majorEastAsia" w:cstheme="majorBidi"/>
      <w:color w:val="90001F" w:themeColor="accent1" w:themeShade="BF"/>
      <w:sz w:val="20"/>
    </w:rPr>
  </w:style>
  <w:style w:type="character" w:styleId="Overskrift6Tegn" w:customStyle="1">
    <w:name w:val="Overskrift 6 Tegn"/>
    <w:basedOn w:val="Standardskriftforavsnitt"/>
    <w:link w:val="Overskrift6"/>
    <w:uiPriority w:val="9"/>
    <w:semiHidden/>
    <w:rsid w:val="009F5392"/>
    <w:rPr>
      <w:rFonts w:asciiTheme="majorHAnsi" w:hAnsiTheme="majorHAnsi" w:eastAsiaTheme="majorEastAsia" w:cstheme="majorBidi"/>
      <w:color w:val="600015" w:themeColor="accent1" w:themeShade="7F"/>
      <w:sz w:val="20"/>
    </w:rPr>
  </w:style>
  <w:style w:type="character" w:styleId="Overskrift7Tegn" w:customStyle="1">
    <w:name w:val="Overskrift 7 Tegn"/>
    <w:basedOn w:val="Standardskriftforavsnitt"/>
    <w:link w:val="Overskrift7"/>
    <w:uiPriority w:val="9"/>
    <w:semiHidden/>
    <w:rsid w:val="009F5392"/>
    <w:rPr>
      <w:rFonts w:asciiTheme="majorHAnsi" w:hAnsiTheme="majorHAnsi" w:eastAsiaTheme="majorEastAsia" w:cstheme="majorBidi"/>
      <w:i/>
      <w:iCs/>
      <w:color w:val="600015" w:themeColor="accent1" w:themeShade="7F"/>
      <w:sz w:val="20"/>
    </w:rPr>
  </w:style>
  <w:style w:type="character" w:styleId="Overskrift8Tegn" w:customStyle="1">
    <w:name w:val="Overskrift 8 Tegn"/>
    <w:basedOn w:val="Standardskriftforavsnitt"/>
    <w:link w:val="Overskrift8"/>
    <w:uiPriority w:val="9"/>
    <w:semiHidden/>
    <w:rsid w:val="009F5392"/>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semiHidden/>
    <w:rsid w:val="009F5392"/>
    <w:rPr>
      <w:rFonts w:asciiTheme="majorHAnsi" w:hAnsiTheme="majorHAnsi" w:eastAsiaTheme="majorEastAsia" w:cstheme="majorBidi"/>
      <w:i/>
      <w:iCs/>
      <w:color w:val="272727" w:themeColor="text1" w:themeTint="D8"/>
      <w:sz w:val="21"/>
      <w:szCs w:val="21"/>
    </w:rPr>
  </w:style>
  <w:style w:type="paragraph" w:styleId="Fotnotetekst">
    <w:name w:val="footnote text"/>
    <w:basedOn w:val="Normal"/>
    <w:link w:val="FotnotetekstTegn"/>
    <w:uiPriority w:val="99"/>
    <w:rsid w:val="009F5392"/>
    <w:pPr>
      <w:spacing w:after="0" w:line="240" w:lineRule="auto"/>
    </w:pPr>
    <w:rPr>
      <w:rFonts w:asciiTheme="majorHAnsi" w:hAnsiTheme="majorHAnsi"/>
      <w:sz w:val="13"/>
      <w:szCs w:val="20"/>
    </w:rPr>
  </w:style>
  <w:style w:type="character" w:styleId="FotnotetekstTegn" w:customStyle="1">
    <w:name w:val="Fotnotetekst Tegn"/>
    <w:basedOn w:val="Standardskriftforavsnitt"/>
    <w:link w:val="Fotnotetekst"/>
    <w:uiPriority w:val="99"/>
    <w:rsid w:val="009F5392"/>
    <w:rPr>
      <w:rFonts w:asciiTheme="majorHAnsi" w:hAnsiTheme="majorHAnsi"/>
      <w:sz w:val="13"/>
      <w:szCs w:val="20"/>
    </w:rPr>
  </w:style>
  <w:style w:type="paragraph" w:styleId="Bildetekst">
    <w:name w:val="caption"/>
    <w:basedOn w:val="Normal"/>
    <w:next w:val="Normal"/>
    <w:uiPriority w:val="35"/>
    <w:rsid w:val="009F5392"/>
    <w:pPr>
      <w:spacing w:after="200" w:line="240" w:lineRule="auto"/>
    </w:pPr>
    <w:rPr>
      <w:rFonts w:asciiTheme="majorHAnsi" w:hAnsiTheme="majorHAnsi"/>
      <w:i/>
      <w:iCs/>
      <w:sz w:val="14"/>
      <w:szCs w:val="18"/>
    </w:rPr>
  </w:style>
  <w:style w:type="table" w:styleId="Tabellrutenett">
    <w:name w:val="Table Grid"/>
    <w:aliases w:val="Standard"/>
    <w:basedOn w:val="Vanligtabell"/>
    <w:uiPriority w:val="39"/>
    <w:rsid w:val="009F5392"/>
    <w:pPr>
      <w:spacing w:after="0" w:line="240" w:lineRule="auto"/>
      <w:ind w:left="85" w:right="85"/>
      <w:contextualSpacing/>
    </w:pPr>
    <w:rPr>
      <w:rFonts w:asciiTheme="majorHAnsi" w:hAnsiTheme="majorHAnsi"/>
    </w:rPr>
    <w:tblPr>
      <w:tblBorders>
        <w:bottom w:val="single" w:color="868688" w:themeColor="text2" w:sz="4" w:space="0"/>
        <w:insideH w:val="single" w:color="868688" w:themeColor="text2" w:sz="4" w:space="0"/>
        <w:insideV w:val="single" w:color="868688" w:themeColor="text2" w:sz="4" w:space="0"/>
      </w:tblBorders>
      <w:tblCellMar>
        <w:top w:w="85" w:type="dxa"/>
        <w:left w:w="0" w:type="dxa"/>
        <w:bottom w:w="85" w:type="dxa"/>
        <w:right w:w="0" w:type="dxa"/>
      </w:tblCellMar>
    </w:tblPr>
    <w:tblStylePr w:type="firstRow">
      <w:rPr>
        <w:b/>
        <w:color w:val="C1002B" w:themeColor="accent1"/>
      </w:rPr>
      <w:tblPr/>
      <w:tcPr>
        <w:shd w:val="clear" w:color="auto" w:fill="DDDDDE" w:themeFill="background2" w:themeFillTint="99"/>
      </w:tcPr>
    </w:tblStylePr>
  </w:style>
  <w:style w:type="table" w:styleId="Rutenettabelllys">
    <w:name w:val="Grid Table Light"/>
    <w:basedOn w:val="Vanligtabell"/>
    <w:uiPriority w:val="40"/>
    <w:rsid w:val="009F5392"/>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Forsvarsbygg1" w:customStyle="1">
    <w:name w:val="Forsvarsbygg 1"/>
    <w:basedOn w:val="Vanligtabell"/>
    <w:uiPriority w:val="99"/>
    <w:rsid w:val="009F5392"/>
    <w:pPr>
      <w:spacing w:after="0" w:line="240" w:lineRule="auto"/>
      <w:ind w:left="85" w:right="85"/>
      <w:contextualSpacing/>
    </w:pPr>
    <w:rPr>
      <w:rFonts w:asciiTheme="majorHAnsi" w:hAnsiTheme="majorHAnsi"/>
    </w:rPr>
    <w:tblPr>
      <w:tblBorders>
        <w:bottom w:val="single" w:color="868688" w:themeColor="text2" w:sz="4" w:space="0"/>
        <w:insideH w:val="single" w:color="868688" w:themeColor="text2" w:sz="4" w:space="0"/>
      </w:tblBorders>
      <w:tblCellMar>
        <w:top w:w="85" w:type="dxa"/>
        <w:left w:w="0" w:type="dxa"/>
        <w:bottom w:w="85" w:type="dxa"/>
        <w:right w:w="0" w:type="dxa"/>
      </w:tblCellMar>
    </w:tblPr>
    <w:tblStylePr w:type="firstRow">
      <w:rPr>
        <w:b/>
        <w:color w:val="C1002B" w:themeColor="accent1"/>
      </w:rPr>
    </w:tblStylePr>
  </w:style>
  <w:style w:type="table" w:styleId="Forsvarsbygg2" w:customStyle="1">
    <w:name w:val="Forsvarsbygg 2"/>
    <w:basedOn w:val="Vanligtabell"/>
    <w:uiPriority w:val="99"/>
    <w:rsid w:val="009F5392"/>
    <w:pPr>
      <w:spacing w:after="0" w:line="240" w:lineRule="auto"/>
      <w:ind w:left="85" w:right="85"/>
      <w:contextualSpacing/>
    </w:pPr>
    <w:rPr>
      <w:rFonts w:asciiTheme="majorHAnsi" w:hAnsiTheme="majorHAnsi"/>
    </w:rPr>
    <w:tblPr>
      <w:tblBorders>
        <w:insideV w:val="single" w:color="868688" w:themeColor="text2" w:sz="4" w:space="0"/>
      </w:tblBorders>
      <w:tblCellMar>
        <w:top w:w="85" w:type="dxa"/>
        <w:left w:w="0" w:type="dxa"/>
        <w:bottom w:w="85" w:type="dxa"/>
        <w:right w:w="0" w:type="dxa"/>
      </w:tblCellMar>
    </w:tblPr>
    <w:tblStylePr w:type="firstRow">
      <w:rPr>
        <w:b/>
        <w:color w:val="C1002B" w:themeColor="accent1"/>
      </w:rPr>
    </w:tblStylePr>
  </w:style>
  <w:style w:type="table" w:styleId="Forsvarsbygg3" w:customStyle="1">
    <w:name w:val="Forsvarsbygg 3"/>
    <w:basedOn w:val="Vanligtabell"/>
    <w:uiPriority w:val="99"/>
    <w:rsid w:val="009F5392"/>
    <w:pPr>
      <w:spacing w:after="0" w:line="240" w:lineRule="auto"/>
      <w:ind w:left="85" w:right="85"/>
      <w:contextualSpacing/>
    </w:pPr>
    <w:rPr>
      <w:rFonts w:asciiTheme="majorHAnsi" w:hAnsiTheme="majorHAnsi"/>
    </w:rPr>
    <w:tblPr>
      <w:tblBorders>
        <w:insideH w:val="single" w:color="FFFFFF" w:themeColor="background1" w:sz="4" w:space="0"/>
      </w:tblBorders>
      <w:tblCellMar>
        <w:top w:w="85" w:type="dxa"/>
        <w:left w:w="0" w:type="dxa"/>
        <w:bottom w:w="85" w:type="dxa"/>
        <w:right w:w="0" w:type="dxa"/>
      </w:tblCellMar>
    </w:tblPr>
    <w:tcPr>
      <w:shd w:val="clear" w:color="auto" w:fill="DDDDDE" w:themeFill="background2" w:themeFillTint="99"/>
    </w:tcPr>
    <w:tblStylePr w:type="firstRow">
      <w:rPr>
        <w:b/>
        <w:color w:val="C1002B" w:themeColor="accent1"/>
      </w:rPr>
    </w:tblStylePr>
  </w:style>
  <w:style w:type="paragraph" w:styleId="Tabelltekst" w:customStyle="1">
    <w:name w:val="Tabelltekst"/>
    <w:basedOn w:val="Normal"/>
    <w:qFormat/>
    <w:rsid w:val="009F5392"/>
    <w:pPr>
      <w:spacing w:after="0" w:line="240" w:lineRule="auto"/>
    </w:pPr>
    <w:rPr>
      <w:rFonts w:asciiTheme="majorHAnsi" w:hAnsiTheme="majorHAnsi"/>
      <w:sz w:val="14"/>
    </w:rPr>
  </w:style>
  <w:style w:type="paragraph" w:styleId="Tittel">
    <w:name w:val="Title"/>
    <w:basedOn w:val="Normal"/>
    <w:next w:val="Normal"/>
    <w:link w:val="TittelTegn"/>
    <w:uiPriority w:val="10"/>
    <w:rsid w:val="009F5392"/>
    <w:pPr>
      <w:spacing w:line="240" w:lineRule="auto"/>
      <w:contextualSpacing/>
    </w:pPr>
    <w:rPr>
      <w:rFonts w:asciiTheme="majorHAnsi" w:hAnsiTheme="majorHAnsi" w:eastAsiaTheme="majorEastAsia" w:cstheme="majorBidi"/>
      <w:b/>
      <w:kern w:val="28"/>
      <w:sz w:val="50"/>
      <w:szCs w:val="56"/>
    </w:rPr>
  </w:style>
  <w:style w:type="character" w:styleId="TittelTegn" w:customStyle="1">
    <w:name w:val="Tittel Tegn"/>
    <w:basedOn w:val="Standardskriftforavsnitt"/>
    <w:link w:val="Tittel"/>
    <w:uiPriority w:val="10"/>
    <w:rsid w:val="009F5392"/>
    <w:rPr>
      <w:rFonts w:asciiTheme="majorHAnsi" w:hAnsiTheme="majorHAnsi" w:eastAsiaTheme="majorEastAsia" w:cstheme="majorBidi"/>
      <w:b/>
      <w:kern w:val="28"/>
      <w:sz w:val="50"/>
      <w:szCs w:val="56"/>
    </w:rPr>
  </w:style>
  <w:style w:type="paragraph" w:styleId="Undertittel">
    <w:name w:val="Subtitle"/>
    <w:basedOn w:val="Normal"/>
    <w:next w:val="Normal"/>
    <w:link w:val="UndertittelTegn"/>
    <w:uiPriority w:val="11"/>
    <w:rsid w:val="009F5392"/>
    <w:pPr>
      <w:numPr>
        <w:ilvl w:val="1"/>
      </w:numPr>
      <w:spacing w:line="240" w:lineRule="auto"/>
      <w:contextualSpacing/>
    </w:pPr>
    <w:rPr>
      <w:rFonts w:asciiTheme="majorHAnsi" w:hAnsiTheme="majorHAnsi" w:eastAsiaTheme="minorEastAsia"/>
      <w:sz w:val="25"/>
    </w:rPr>
  </w:style>
  <w:style w:type="character" w:styleId="UndertittelTegn" w:customStyle="1">
    <w:name w:val="Undertittel Tegn"/>
    <w:basedOn w:val="Standardskriftforavsnitt"/>
    <w:link w:val="Undertittel"/>
    <w:uiPriority w:val="11"/>
    <w:rsid w:val="009F5392"/>
    <w:rPr>
      <w:rFonts w:asciiTheme="majorHAnsi" w:hAnsiTheme="majorHAnsi" w:eastAsiaTheme="minorEastAsia"/>
      <w:sz w:val="25"/>
    </w:rPr>
  </w:style>
  <w:style w:type="table" w:styleId="Vanligtabell5">
    <w:name w:val="Plain Table 5"/>
    <w:basedOn w:val="Vanligtabell"/>
    <w:uiPriority w:val="45"/>
    <w:rsid w:val="009F5392"/>
    <w:pPr>
      <w:spacing w:after="0"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ssholdertekst">
    <w:name w:val="Placeholder Text"/>
    <w:basedOn w:val="Standardskriftforavsnitt"/>
    <w:uiPriority w:val="99"/>
    <w:semiHidden/>
    <w:rsid w:val="009F5392"/>
    <w:rPr>
      <w:color w:val="808080"/>
    </w:rPr>
  </w:style>
  <w:style w:type="paragraph" w:styleId="Overskriftforinnholdsfortegnelse">
    <w:name w:val="TOC Heading"/>
    <w:basedOn w:val="Overskrift1"/>
    <w:next w:val="Normal"/>
    <w:uiPriority w:val="39"/>
    <w:rsid w:val="009F5392"/>
    <w:pPr>
      <w:numPr>
        <w:numId w:val="0"/>
      </w:numPr>
      <w:spacing w:before="0" w:after="480"/>
      <w:outlineLvl w:val="9"/>
    </w:pPr>
  </w:style>
  <w:style w:type="paragraph" w:styleId="INNH1">
    <w:name w:val="toc 1"/>
    <w:basedOn w:val="Normal"/>
    <w:next w:val="Normal"/>
    <w:autoRedefine/>
    <w:uiPriority w:val="39"/>
    <w:rsid w:val="009F5392"/>
    <w:pPr>
      <w:tabs>
        <w:tab w:val="right" w:leader="dot" w:pos="9072"/>
      </w:tabs>
      <w:spacing w:after="100"/>
    </w:pPr>
    <w:rPr>
      <w:rFonts w:asciiTheme="majorHAnsi" w:hAnsiTheme="majorHAnsi"/>
      <w:b/>
      <w:sz w:val="18"/>
    </w:rPr>
  </w:style>
  <w:style w:type="paragraph" w:styleId="INNH2">
    <w:name w:val="toc 2"/>
    <w:basedOn w:val="Normal"/>
    <w:next w:val="Normal"/>
    <w:autoRedefine/>
    <w:uiPriority w:val="39"/>
    <w:rsid w:val="009F5392"/>
    <w:pPr>
      <w:tabs>
        <w:tab w:val="right" w:leader="dot" w:pos="9072"/>
      </w:tabs>
      <w:spacing w:after="100"/>
      <w:ind w:left="190"/>
    </w:pPr>
    <w:rPr>
      <w:rFonts w:asciiTheme="majorHAnsi" w:hAnsiTheme="majorHAnsi"/>
      <w:color w:val="C1002B" w:themeColor="accent1"/>
      <w:sz w:val="18"/>
    </w:rPr>
  </w:style>
  <w:style w:type="paragraph" w:styleId="INNH3">
    <w:name w:val="toc 3"/>
    <w:basedOn w:val="Normal"/>
    <w:next w:val="Normal"/>
    <w:autoRedefine/>
    <w:uiPriority w:val="39"/>
    <w:rsid w:val="009F5392"/>
    <w:pPr>
      <w:tabs>
        <w:tab w:val="right" w:leader="dot" w:pos="9072"/>
      </w:tabs>
      <w:spacing w:after="100"/>
      <w:ind w:left="380"/>
    </w:pPr>
    <w:rPr>
      <w:rFonts w:asciiTheme="majorHAnsi" w:hAnsiTheme="majorHAnsi"/>
      <w:sz w:val="18"/>
    </w:rPr>
  </w:style>
  <w:style w:type="character" w:styleId="Hyperkobling">
    <w:name w:val="Hyperlink"/>
    <w:basedOn w:val="Standardskriftforavsnitt"/>
    <w:uiPriority w:val="99"/>
    <w:unhideWhenUsed/>
    <w:rsid w:val="009F5392"/>
    <w:rPr>
      <w:color w:val="0563C1" w:themeColor="hyperlink"/>
      <w:u w:val="single"/>
    </w:rPr>
  </w:style>
  <w:style w:type="paragraph" w:styleId="BasicParagraph" w:customStyle="1">
    <w:name w:val="[Basic Paragraph]"/>
    <w:basedOn w:val="Normal"/>
    <w:uiPriority w:val="99"/>
    <w:rsid w:val="009F5392"/>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styleId="Bobletekst">
    <w:name w:val="Balloon Text"/>
    <w:basedOn w:val="Normal"/>
    <w:link w:val="BobletekstTegn"/>
    <w:uiPriority w:val="99"/>
    <w:semiHidden/>
    <w:rsid w:val="00D44F06"/>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D44F06"/>
    <w:rPr>
      <w:rFonts w:ascii="Segoe UI" w:hAnsi="Segoe UI" w:cs="Segoe UI"/>
      <w:sz w:val="18"/>
      <w:szCs w:val="18"/>
    </w:rPr>
  </w:style>
  <w:style w:type="paragraph" w:styleId="Merknadstekst">
    <w:name w:val="annotation text"/>
    <w:basedOn w:val="Normal"/>
    <w:link w:val="MerknadstekstTegn"/>
    <w:uiPriority w:val="99"/>
    <w:unhideWhenUsed/>
    <w:rsid w:val="00CC42DF"/>
    <w:pPr>
      <w:spacing w:line="240" w:lineRule="auto"/>
    </w:pPr>
    <w:rPr>
      <w:sz w:val="20"/>
      <w:szCs w:val="20"/>
    </w:rPr>
  </w:style>
  <w:style w:type="character" w:styleId="MerknadstekstTegn" w:customStyle="1">
    <w:name w:val="Merknadstekst Tegn"/>
    <w:basedOn w:val="Standardskriftforavsnitt"/>
    <w:link w:val="Merknadstekst"/>
    <w:uiPriority w:val="99"/>
    <w:rsid w:val="00CC42DF"/>
    <w:rPr>
      <w:kern w:val="2"/>
      <w:sz w:val="20"/>
      <w:szCs w:val="20"/>
      <w14:ligatures w14:val="standardContextual"/>
    </w:rPr>
  </w:style>
  <w:style w:type="paragraph" w:styleId="Listeavsnitt">
    <w:name w:val="List Paragraph"/>
    <w:basedOn w:val="Normal"/>
    <w:uiPriority w:val="34"/>
    <w:qFormat/>
    <w:rsid w:val="00CC42DF"/>
    <w:pPr>
      <w:spacing w:after="0" w:line="240" w:lineRule="auto"/>
      <w:ind w:left="720"/>
      <w:contextualSpacing/>
    </w:pPr>
    <w:rPr>
      <w:rFonts w:ascii="Garamond" w:hAnsi="Garamond" w:eastAsia="Times New Roman" w:cs="Times New Roman"/>
      <w:sz w:val="24"/>
      <w:szCs w:val="24"/>
      <w:lang w:eastAsia="nb-NO"/>
    </w:rPr>
  </w:style>
  <w:style w:type="character" w:styleId="Merknadsreferanse">
    <w:name w:val="annotation reference"/>
    <w:basedOn w:val="Standardskriftforavsnitt"/>
    <w:uiPriority w:val="99"/>
    <w:semiHidden/>
    <w:unhideWhenUsed/>
    <w:rsid w:val="00CC42D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277457">
      <w:bodyDiv w:val="1"/>
      <w:marLeft w:val="0"/>
      <w:marRight w:val="0"/>
      <w:marTop w:val="0"/>
      <w:marBottom w:val="0"/>
      <w:divBdr>
        <w:top w:val="none" w:sz="0" w:space="0" w:color="auto"/>
        <w:left w:val="none" w:sz="0" w:space="0" w:color="auto"/>
        <w:bottom w:val="none" w:sz="0" w:space="0" w:color="auto"/>
        <w:right w:val="none" w:sz="0" w:space="0" w:color="auto"/>
      </w:divBdr>
    </w:div>
    <w:div w:id="143309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1.xml" Id="rId17" /><Relationship Type="http://schemas.openxmlformats.org/officeDocument/2006/relationships/theme" Target="theme/theme1.xml" Id="rId25" /><Relationship Type="http://schemas.openxmlformats.org/officeDocument/2006/relationships/footer" Target="footer2.xml" Id="rId20" /><Relationship Type="http://schemas.microsoft.com/office/2011/relationships/people" Target="people.xml" Id="rId24"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fontTable" Target="fontTable.xml" Id="rId23" /><Relationship Type="http://schemas.microsoft.com/office/2016/09/relationships/commentsIds" Target="commentsIds.xml" Id="rId15" /><Relationship Type="http://schemas.openxmlformats.org/officeDocument/2006/relationships/webSettings" Target="webSetting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settings" Target="settings.xml" Id="rId9" /><Relationship Type="http://schemas.microsoft.com/office/2011/relationships/commentsExtended" Target="commentsExtended.xml" Id="rId14" /><Relationship Type="http://schemas.openxmlformats.org/officeDocument/2006/relationships/footer" Target="footer3.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Forsvarsbygg">
      <a:dk1>
        <a:sysClr val="windowText" lastClr="000000"/>
      </a:dk1>
      <a:lt1>
        <a:sysClr val="window" lastClr="FFFFFF"/>
      </a:lt1>
      <a:dk2>
        <a:srgbClr val="868688"/>
      </a:dk2>
      <a:lt2>
        <a:srgbClr val="C7C7C8"/>
      </a:lt2>
      <a:accent1>
        <a:srgbClr val="C1002B"/>
      </a:accent1>
      <a:accent2>
        <a:srgbClr val="005782"/>
      </a:accent2>
      <a:accent3>
        <a:srgbClr val="BEBC00"/>
      </a:accent3>
      <a:accent4>
        <a:srgbClr val="008688"/>
      </a:accent4>
      <a:accent5>
        <a:srgbClr val="E06C08"/>
      </a:accent5>
      <a:accent6>
        <a:srgbClr val="868688"/>
      </a:accent6>
      <a:hlink>
        <a:srgbClr val="0563C1"/>
      </a:hlink>
      <a:folHlink>
        <a:srgbClr val="954F72"/>
      </a:folHlink>
    </a:clrScheme>
    <a:fontScheme name="Egendefinert 27">
      <a:majorFont>
        <a:latin typeface="Arial"/>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5" ma:contentTypeDescription="Opprett et nytt dokument." ma:contentTypeScope="" ma:versionID="4037779d743754afbd4bc5abdac6b71f">
  <xsd:schema xmlns:xsd="http://www.w3.org/2001/XMLSchema" xmlns:xs="http://www.w3.org/2001/XMLSchema" xmlns:p="http://schemas.microsoft.com/office/2006/metadata/properties" xmlns:ns2="7e9ed144-07ec-4409-ae92-cd3838737cf2" targetNamespace="http://schemas.microsoft.com/office/2006/metadata/properties" ma:root="true" ma:fieldsID="20c64322263351a54f0887ead9bdf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sedyre" ma:contentTypeID="0x0101002724BE864408014E9334E2CA52BD8CC300B9F7A51F2ED5C6469D1D21D5D9463455" ma:contentTypeVersion="72" ma:contentTypeDescription="" ma:contentTypeScope="" ma:versionID="df0fcf9fb443935246bea5a3f4f6b8f9">
  <xsd:schema xmlns:xsd="http://www.w3.org/2001/XMLSchema" xmlns:xs="http://www.w3.org/2001/XMLSchema" xmlns:p="http://schemas.microsoft.com/office/2006/metadata/properties" xmlns:ns1="http://schemas.microsoft.com/sharepoint/v3" xmlns:ns2="e3f2b36b-5ed3-4ab2-a68c-a7fe585c2bab" xmlns:ns3="832f98cf-9a3a-4064-94fb-2de816b2185d" targetNamespace="http://schemas.microsoft.com/office/2006/metadata/properties" ma:root="true" ma:fieldsID="c91babc5deea348434e1085a0c8e9750" ns1:_="" ns2:_="" ns3:_="">
    <xsd:import namespace="http://schemas.microsoft.com/sharepoint/v3"/>
    <xsd:import namespace="e3f2b36b-5ed3-4ab2-a68c-a7fe585c2bab"/>
    <xsd:import namespace="832f98cf-9a3a-4064-94fb-2de816b2185d"/>
    <xsd:element name="properties">
      <xsd:complexType>
        <xsd:sequence>
          <xsd:element name="documentManagement">
            <xsd:complexType>
              <xsd:all>
                <xsd:element ref="ns2:Revisjonsansvarlig"/>
                <xsd:element ref="ns3:Godkjenner"/>
                <xsd:element ref="ns2:RevisjonKopiTil" minOccurs="0"/>
                <xsd:element ref="ns1:Revisjonsdato" minOccurs="0"/>
                <xsd:element ref="ns2:OriginalDocumentID" minOccurs="0"/>
                <xsd:element ref="ns2:SourceVersion" minOccurs="0"/>
                <xsd:element ref="ns3:TaxCatchAll" minOccurs="0"/>
                <xsd:element ref="ns3:TaxCatchAllLabel" minOccurs="0"/>
                <xsd:element ref="ns3:_dlc_DocId" minOccurs="0"/>
                <xsd:element ref="ns3:a9609aba33374f40a540ac1810b218ad" minOccurs="0"/>
                <xsd:element ref="ns3:_dlc_DocIdUrl" minOccurs="0"/>
                <xsd:element ref="ns3:_dlc_DocIdPersistId" minOccurs="0"/>
                <xsd:element ref="ns3:Godkjent_x0020_av" minOccurs="0"/>
                <xsd:element ref="ns3:Godkjent_x0020_dato" minOccurs="0"/>
                <xsd:element ref="ns3:RevideresInnenDato" minOccurs="0"/>
                <xsd:element ref="ns3:l18fc729754d4921abcb412b310266ea" minOccurs="0"/>
                <xsd:element ref="ns1:_dlc_Exempt" minOccurs="0"/>
                <xsd:element ref="ns2:DLCPolicyLabelValue" minOccurs="0"/>
                <xsd:element ref="ns2:DLCPolicyLabelClientValue" minOccurs="0"/>
                <xsd:element ref="ns2:DLCPolicyLabelLock" minOccurs="0"/>
                <xsd:element ref="ns3: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sjonsdato" ma:index="6" nillable="true" ma:displayName="Revisjonsvarsling" ma:description="Angi dato for når forfatter skal ha påminnelse om revisjonen på e-post" ma:format="DateOnly" ma:hidden="true" ma:internalName="Revisjonsdato" ma:readOnly="false">
      <xsd:simpleType>
        <xsd:restriction base="dms:DateTime"/>
      </xsd:simpleType>
    </xsd:element>
    <xsd:element name="_dlc_Exempt" ma:index="26" nillable="true" ma:displayName="Unntak fra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f2b36b-5ed3-4ab2-a68c-a7fe585c2bab" elementFormDefault="qualified">
    <xsd:import namespace="http://schemas.microsoft.com/office/2006/documentManagement/types"/>
    <xsd:import namespace="http://schemas.microsoft.com/office/infopath/2007/PartnerControls"/>
    <xsd:element name="Revisjonsansvarlig" ma:index="2" ma:displayName="Forfatter" ma:SharePointGroup="124"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sjonKopiTil" ma:index="5" nillable="true" ma:displayName="Kopi v. revisjon" ma:description="Denne personen får kopi av varsel om å revidere dokument når revisjonsdato (Revideres innen) er passert" ma:hidden="true" ma:SharePointGroup="0" ma:internalName="RevisjonKopiTil"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riginalDocumentID" ma:index="8" nillable="true" ma:displayName="Dokument ID" ma:hidden="true" ma:internalName="OriginalDocumentID" ma:readOnly="false">
      <xsd:simpleType>
        <xsd:restriction base="dms:Text">
          <xsd:maxLength value="255"/>
        </xsd:restriction>
      </xsd:simpleType>
    </xsd:element>
    <xsd:element name="SourceVersion" ma:index="9" nillable="true" ma:displayName="Revisjonsnr" ma:hidden="true" ma:internalName="SourceVersion" ma:readOnly="false">
      <xsd:simpleType>
        <xsd:restriction base="dms:Text">
          <xsd:maxLength value="255"/>
        </xsd:restriction>
      </xsd:simpleType>
    </xsd:element>
    <xsd:element name="DLCPolicyLabelValue" ma:index="27" nillable="true" ma:displayName="Etikett" ma:description="Lagrer gjeldende verdi for etiketten." ma:internalName="DLCPolicyLabelValue" ma:readOnly="true">
      <xsd:simpleType>
        <xsd:restriction base="dms:Note">
          <xsd:maxLength value="255"/>
        </xsd:restriction>
      </xsd:simpleType>
    </xsd:element>
    <xsd:element name="DLCPolicyLabelClientValue" ma:index="28" nillable="true" ma:displayName="Klientetikettverdi" ma:description="Lagrer den siste etikettverdien som ble beregnet på klienten." ma:hidden="true" ma:internalName="DLCPolicyLabelClientValue" ma:readOnly="false">
      <xsd:simpleType>
        <xsd:restriction base="dms:Note"/>
      </xsd:simpleType>
    </xsd:element>
    <xsd:element name="DLCPolicyLabelLock" ma:index="29" nillable="true" ma:displayName="Etikett låst" ma:description="Angir om etiketten skal oppdateres når elementegenskapene endres."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f98cf-9a3a-4064-94fb-2de816b2185d" elementFormDefault="qualified">
    <xsd:import namespace="http://schemas.microsoft.com/office/2006/documentManagement/types"/>
    <xsd:import namespace="http://schemas.microsoft.com/office/infopath/2007/PartnerControls"/>
    <xsd:element name="Godkjenner" ma:index="3" ma:displayName="Godkjenner" ma:description="Godkjenner av dokument ved publisering av ny versjon." ma:list="UserInfo" ma:SharePointGroup="12"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10" nillable="true" ma:displayName="Taxonomy Catch All Column" ma:hidden="true" ma:list="{800d377f-87f9-405d-96b3-e697e0189fb6}" ma:internalName="TaxCatchAll" ma:showField="CatchAllData"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800d377f-87f9-405d-96b3-e697e0189fb6}" ma:internalName="TaxCatchAllLabel" ma:readOnly="true" ma:showField="CatchAllDataLabel"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_dlc_DocId" ma:index="13" nillable="true" ma:displayName="Dokument-ID-verdi" ma:description="Verdien for dokument-IDen som er tilordnet elementet." ma:internalName="_dlc_DocId" ma:readOnly="true">
      <xsd:simpleType>
        <xsd:restriction base="dms:Text"/>
      </xsd:simpleType>
    </xsd:element>
    <xsd:element name="a9609aba33374f40a540ac1810b218ad" ma:index="14" ma:taxonomy="true" ma:internalName="a9609aba33374f40a540ac1810b218ad" ma:taxonomyFieldName="Kjerneprosesser1" ma:displayName="Prosesser" ma:readOnly="false" ma:default="" ma:fieldId="{a9609aba-3337-4f40-a540-ac1810b218ad}" ma:taxonomyMulti="true" ma:sspId="6caed915-65f4-4044-b466-6dd7ff9389af" ma:termSetId="d2f6c5bb-052d-4761-b56b-c2f3e7203619" ma:anchorId="00000000-0000-0000-0000-000000000000" ma:open="false" ma:isKeyword="false">
      <xsd:complexType>
        <xsd:sequence>
          <xsd:element ref="pc:Terms" minOccurs="0" maxOccurs="1"/>
        </xsd:sequence>
      </xsd:complexType>
    </xsd:element>
    <xsd:element name="_dlc_DocIdUrl" ma:index="15"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Fast ID" ma:description="Behold IDen ved tillegging." ma:hidden="true" ma:internalName="_dlc_DocIdPersistId" ma:readOnly="true">
      <xsd:simpleType>
        <xsd:restriction base="dms:Boolean"/>
      </xsd:simpleType>
    </xsd:element>
    <xsd:element name="Godkjent_x0020_av" ma:index="22" nillable="true" ma:displayName="Godkjent av" ma:description="Denne blir utfylt automatisk når dokumentet godkjennes" ma:hidden="true"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t_x0020_dato" ma:index="23" nillable="true" ma:displayName="Godkjent dato" ma:description="Denne blir utfylt automatisk når dokumentet godkjennes" ma:format="DateOnly" ma:hidden="true" ma:internalName="Godkjent_x0020_dato" ma:readOnly="false">
      <xsd:simpleType>
        <xsd:restriction base="dms:DateTime"/>
      </xsd:simpleType>
    </xsd:element>
    <xsd:element name="RevideresInnenDato" ma:index="24" nillable="true" ma:displayName="Revideres innen" ma:format="DateOnly" ma:hidden="true" ma:internalName="RevideresInnenDato" ma:readOnly="false">
      <xsd:simpleType>
        <xsd:restriction base="dms:DateTime"/>
      </xsd:simpleType>
    </xsd:element>
    <xsd:element name="l18fc729754d4921abcb412b310266ea" ma:index="25" ma:taxonomy="true" ma:internalName="l18fc729754d4921abcb412b310266ea" ma:taxonomyFieldName="Type_x0020_dokument" ma:displayName="Dokumenttype" ma:indexed="true" ma:default="" ma:fieldId="{518fc729-754d-4921-abcb-412b310266ea}" ma:sspId="6caed915-65f4-4044-b466-6dd7ff9389af" ma:termSetId="38bd2841-dfdd-475a-a089-0c3f18f5ab6a" ma:anchorId="00000000-0000-0000-0000-000000000000" ma:open="false" ma:isKeyword="false">
      <xsd:complexType>
        <xsd:sequence>
          <xsd:element ref="pc:Terms" minOccurs="0" maxOccurs="1"/>
        </xsd:sequence>
      </xsd:complexType>
    </xsd:element>
    <xsd:element name="Sortering" ma:index="30" nillable="true" ma:displayName="Sortering" ma:internalName="Sorte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nholdstype"/>
        <xsd:element ref="dc:title"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ADFC37-8BD3-4C91-A300-7CD74EBA8369}">
  <ds:schemaRefs>
    <ds:schemaRef ds:uri="http://schemas.microsoft.com/sharepoint/events"/>
  </ds:schemaRefs>
</ds:datastoreItem>
</file>

<file path=customXml/itemProps2.xml><?xml version="1.0" encoding="utf-8"?>
<ds:datastoreItem xmlns:ds="http://schemas.openxmlformats.org/officeDocument/2006/customXml" ds:itemID="{D530D374-F6E8-4DBA-97B8-0EA47F45F39D}">
  <ds:schemaRefs>
    <ds:schemaRef ds:uri="http://schemas.microsoft.com/office/2006/metadata/customXsn"/>
  </ds:schemaRefs>
</ds:datastoreItem>
</file>

<file path=customXml/itemProps3.xml><?xml version="1.0" encoding="utf-8"?>
<ds:datastoreItem xmlns:ds="http://schemas.openxmlformats.org/officeDocument/2006/customXml" ds:itemID="{2AB54557-2382-46D1-B88E-86E9163EE713}"/>
</file>

<file path=customXml/itemProps4.xml><?xml version="1.0" encoding="utf-8"?>
<ds:datastoreItem xmlns:ds="http://schemas.openxmlformats.org/officeDocument/2006/customXml" ds:itemID="{E0648CBB-4F07-4467-8A75-CE8F27DE16F8}">
  <ds:schemaRefs>
    <ds:schemaRef ds:uri="http://schemas.microsoft.com/sharepoint/v3/contenttype/forms"/>
  </ds:schemaRefs>
</ds:datastoreItem>
</file>

<file path=customXml/itemProps5.xml><?xml version="1.0" encoding="utf-8"?>
<ds:datastoreItem xmlns:ds="http://schemas.openxmlformats.org/officeDocument/2006/customXml" ds:itemID="{9C8634DA-B3C5-4676-BAF0-6BB6F4901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f2b36b-5ed3-4ab2-a68c-a7fe585c2bab"/>
    <ds:schemaRef ds:uri="832f98cf-9a3a-4064-94fb-2de816b21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55D936-B5E0-4027-A34C-8F0A242C9C65}">
  <ds:schemaRefs>
    <ds:schemaRef ds:uri="http://www.w3.org/XML/1998/namespace"/>
    <ds:schemaRef ds:uri="http://purl.org/dc/dcmitype/"/>
    <ds:schemaRef ds:uri="http://purl.org/dc/terms/"/>
    <ds:schemaRef ds:uri="832f98cf-9a3a-4064-94fb-2de816b2185d"/>
    <ds:schemaRef ds:uri="http://schemas.microsoft.com/office/2006/documentManagement/types"/>
    <ds:schemaRef ds:uri="e3f2b36b-5ed3-4ab2-a68c-a7fe585c2bab"/>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Vedlegg 1 - Endringer til Forsvarsbyggs generelle kontraktsvilkår for rammeavtaler</dc:title>
  <dc:subject/>
  <dc:creator>Ingeberg, Martine Cecilie Ildstad</dc:creator>
  <keywords/>
  <dc:description/>
  <lastModifiedBy>Dresh, Merlinda</lastModifiedBy>
  <revision>3</revision>
  <dcterms:created xsi:type="dcterms:W3CDTF">2026-04-30T10:44:00.0000000Z</dcterms:created>
  <dcterms:modified xsi:type="dcterms:W3CDTF">2026-05-18T10:08:41.3153746Z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0x010100F9E8F8060511F4478A164CB56407B3B5</vt:lpwstr>
  </property>
  <property fmtid="{D5CDD505-2E9C-101B-9397-08002B2CF9AE}" pid="3" name="a483dc853f0e480abfb8031e5d82c911">
    <vt:lpwstr>Skal benyttes|2952ae88-8c4c-42ae-b6ca-618af796a1e1</vt:lpwstr>
  </property>
  <property fmtid="{D5CDD505-2E9C-101B-9397-08002B2CF9AE}" pid="4" name="_dlc_DocIdItemGuid">
    <vt:lpwstr>34bf9d2c-683e-4fd4-be96-f300787668e5</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